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4D1D" w14:textId="30B4C5F9" w:rsidR="0031681B" w:rsidRDefault="00CF7DE0" w:rsidP="00CF7DE0">
      <w:pPr>
        <w:rPr>
          <w:rFonts w:ascii="Tahoma" w:hAnsi="Tahoma" w:cs="Tahoma"/>
          <w:b/>
          <w:bCs/>
          <w:sz w:val="28"/>
          <w:szCs w:val="28"/>
        </w:rPr>
      </w:pPr>
      <w:r>
        <w:rPr>
          <w:noProof/>
        </w:rPr>
        <w:drawing>
          <wp:inline distT="0" distB="0" distL="0" distR="0" wp14:anchorId="221BBA40" wp14:editId="1CC4E618">
            <wp:extent cx="5760085" cy="819439"/>
            <wp:effectExtent l="0" t="0" r="0" b="0"/>
            <wp:docPr id="118982935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819439"/>
                    </a:xfrm>
                    <a:prstGeom prst="rect">
                      <a:avLst/>
                    </a:prstGeom>
                    <a:noFill/>
                    <a:ln>
                      <a:noFill/>
                    </a:ln>
                  </pic:spPr>
                </pic:pic>
              </a:graphicData>
            </a:graphic>
          </wp:inline>
        </w:drawing>
      </w:r>
    </w:p>
    <w:p w14:paraId="00752622" w14:textId="77777777" w:rsidR="006A4A4D" w:rsidRDefault="006A4A4D" w:rsidP="006A4A4D">
      <w:pPr>
        <w:jc w:val="center"/>
        <w:rPr>
          <w:rFonts w:ascii="Tahoma" w:hAnsi="Tahoma" w:cs="Tahoma"/>
          <w:b/>
          <w:bCs/>
          <w:sz w:val="28"/>
          <w:szCs w:val="28"/>
        </w:rPr>
      </w:pPr>
    </w:p>
    <w:p w14:paraId="71B4D6C6" w14:textId="77777777" w:rsidR="00164FEA" w:rsidRDefault="00164FEA" w:rsidP="006A4A4D">
      <w:pPr>
        <w:jc w:val="center"/>
        <w:rPr>
          <w:rFonts w:ascii="Tahoma" w:hAnsi="Tahoma" w:cs="Tahoma"/>
          <w:b/>
          <w:bCs/>
          <w:sz w:val="28"/>
          <w:szCs w:val="28"/>
        </w:rPr>
      </w:pPr>
    </w:p>
    <w:p w14:paraId="29449C9A" w14:textId="77777777" w:rsidR="006A4A4D" w:rsidRDefault="006A4A4D" w:rsidP="006A4A4D">
      <w:pPr>
        <w:jc w:val="center"/>
        <w:rPr>
          <w:rFonts w:ascii="Tahoma" w:hAnsi="Tahoma" w:cs="Tahoma"/>
          <w:b/>
          <w:bCs/>
          <w:sz w:val="28"/>
          <w:szCs w:val="28"/>
        </w:rPr>
      </w:pPr>
      <w:r w:rsidRPr="0080207A">
        <w:rPr>
          <w:rFonts w:ascii="Tahoma" w:hAnsi="Tahoma" w:cs="Tahoma"/>
          <w:b/>
          <w:bCs/>
          <w:sz w:val="28"/>
          <w:szCs w:val="28"/>
        </w:rPr>
        <w:t>Navodila glede koriščenja in zagotavljanja namenske porabe kredita</w:t>
      </w:r>
    </w:p>
    <w:p w14:paraId="483886E7" w14:textId="77777777" w:rsidR="002E3E68" w:rsidRPr="0080207A" w:rsidRDefault="002E3E68" w:rsidP="006A4A4D">
      <w:pPr>
        <w:jc w:val="center"/>
        <w:rPr>
          <w:rFonts w:ascii="Tahoma" w:hAnsi="Tahoma" w:cs="Tahoma"/>
          <w:b/>
          <w:bCs/>
          <w:sz w:val="28"/>
          <w:szCs w:val="28"/>
        </w:rPr>
      </w:pPr>
    </w:p>
    <w:p w14:paraId="21FC440D" w14:textId="77777777" w:rsidR="00650B34" w:rsidRPr="00650B34" w:rsidRDefault="00650B34" w:rsidP="00650B34">
      <w:pPr>
        <w:numPr>
          <w:ilvl w:val="0"/>
          <w:numId w:val="1"/>
        </w:numPr>
        <w:spacing w:before="100" w:beforeAutospacing="1" w:after="100" w:afterAutospacing="1"/>
        <w:jc w:val="both"/>
        <w:rPr>
          <w:rFonts w:ascii="Tahoma" w:hAnsi="Tahoma" w:cs="Tahoma"/>
          <w:b/>
          <w:bCs/>
          <w:sz w:val="22"/>
          <w:szCs w:val="22"/>
        </w:rPr>
      </w:pPr>
      <w:r w:rsidRPr="00650B34">
        <w:rPr>
          <w:rFonts w:ascii="Tahoma" w:hAnsi="Tahoma" w:cs="Tahoma"/>
          <w:b/>
          <w:bCs/>
          <w:sz w:val="22"/>
          <w:szCs w:val="22"/>
        </w:rPr>
        <w:t>Kateri datum se šteje za datum nastanka stroška?</w:t>
      </w:r>
    </w:p>
    <w:p w14:paraId="65CB7C5D" w14:textId="77777777" w:rsidR="00650B34" w:rsidRPr="00650B34" w:rsidRDefault="00650B34" w:rsidP="00650B34">
      <w:pPr>
        <w:spacing w:before="100" w:beforeAutospacing="1" w:after="100" w:afterAutospacing="1"/>
        <w:jc w:val="both"/>
        <w:rPr>
          <w:rFonts w:ascii="Tahoma" w:hAnsi="Tahoma" w:cs="Tahoma"/>
          <w:sz w:val="22"/>
          <w:szCs w:val="22"/>
        </w:rPr>
      </w:pPr>
      <w:r w:rsidRPr="00650B34">
        <w:rPr>
          <w:rFonts w:ascii="Tahoma" w:hAnsi="Tahoma" w:cs="Tahoma"/>
          <w:sz w:val="22"/>
          <w:szCs w:val="22"/>
        </w:rPr>
        <w:t>Za datum nastanka stroška se šteje nastanek dolžniško upniškega razmerja. Kredit se lahko koristi na podlagi predračunov, ponudb, vendar mora banka od kreditojemalca naknadno pridobiti vse ustrezne račune.</w:t>
      </w:r>
    </w:p>
    <w:p w14:paraId="4A6EED3A" w14:textId="77777777" w:rsidR="00650B34" w:rsidRPr="00650B34" w:rsidRDefault="00650B34" w:rsidP="00650B34">
      <w:pPr>
        <w:numPr>
          <w:ilvl w:val="0"/>
          <w:numId w:val="1"/>
        </w:numPr>
        <w:spacing w:before="100" w:beforeAutospacing="1" w:after="100" w:afterAutospacing="1"/>
        <w:jc w:val="both"/>
        <w:rPr>
          <w:rFonts w:ascii="Tahoma" w:hAnsi="Tahoma" w:cs="Tahoma"/>
          <w:b/>
          <w:bCs/>
          <w:sz w:val="22"/>
          <w:szCs w:val="22"/>
        </w:rPr>
      </w:pPr>
      <w:r w:rsidRPr="00650B34">
        <w:rPr>
          <w:rFonts w:ascii="Tahoma" w:hAnsi="Tahoma" w:cs="Tahoma"/>
          <w:b/>
          <w:bCs/>
          <w:sz w:val="22"/>
          <w:szCs w:val="22"/>
        </w:rPr>
        <w:t>V sklepu o odobritvi garancije Sklada za bančni kredit s subvencijo obrestne mere je določen skrajni rok koriščenja kredita. Zaradi objektivnih razlogov podjetje ne bo uspelo do tega roka koristiti sredstva. Kaj lahko stori?</w:t>
      </w:r>
    </w:p>
    <w:p w14:paraId="1C8FA410" w14:textId="77777777" w:rsidR="00650B34" w:rsidRPr="00650B34" w:rsidRDefault="00650B34" w:rsidP="00650B34">
      <w:pPr>
        <w:spacing w:before="100" w:beforeAutospacing="1" w:after="100" w:afterAutospacing="1"/>
        <w:jc w:val="both"/>
        <w:rPr>
          <w:rFonts w:ascii="Tahoma" w:hAnsi="Tahoma" w:cs="Tahoma"/>
          <w:sz w:val="22"/>
          <w:szCs w:val="22"/>
        </w:rPr>
      </w:pPr>
      <w:r w:rsidRPr="00650B34">
        <w:rPr>
          <w:rFonts w:ascii="Tahoma" w:hAnsi="Tahoma" w:cs="Tahoma"/>
          <w:sz w:val="22"/>
          <w:szCs w:val="22"/>
        </w:rPr>
        <w:t>Banka je v bančnem sklepu določila skrajni rok koriščenja. V primeru, da podjetje do tega roka ne uspe koristiti sredstev, se lahko z banko dogovori za podaljšanje le-tega. Na Sklad je potrebno poslati (s strani banke ali podjetja) prošnjo za soglasje k podaljšanju roka koriščenja, vendar je pri tem potrebno upoštevati, da je skrajni rok koriščenja po javnem razpisu P1-2 plus 2026 do 31.12.2027 in ga ni možno podaljševati. Ob tem vas še opozarjamo, da morajo biti vse garancije Sklada za odobrene kredite po tem javnem razpisu izdane najkasneje do 01.12.2027.</w:t>
      </w:r>
    </w:p>
    <w:p w14:paraId="4D95B30F" w14:textId="77777777" w:rsidR="00650B34" w:rsidRPr="00650B34" w:rsidRDefault="00650B34" w:rsidP="00650B34">
      <w:pPr>
        <w:numPr>
          <w:ilvl w:val="0"/>
          <w:numId w:val="1"/>
        </w:numPr>
        <w:spacing w:before="100" w:beforeAutospacing="1" w:after="100" w:afterAutospacing="1"/>
        <w:jc w:val="both"/>
        <w:rPr>
          <w:rFonts w:ascii="Tahoma" w:hAnsi="Tahoma" w:cs="Tahoma"/>
          <w:b/>
          <w:bCs/>
          <w:sz w:val="22"/>
          <w:szCs w:val="22"/>
        </w:rPr>
      </w:pPr>
      <w:r w:rsidRPr="00650B34">
        <w:rPr>
          <w:rFonts w:ascii="Tahoma" w:hAnsi="Tahoma" w:cs="Tahoma"/>
          <w:b/>
          <w:bCs/>
          <w:sz w:val="22"/>
          <w:szCs w:val="22"/>
        </w:rPr>
        <w:t>Ali lahko banka omogoči podjetju koriščenje kredita pred izdajo sklepa o odobritvi garancije Sklada za bančni kredit s subvencijo obrestne mere?</w:t>
      </w:r>
    </w:p>
    <w:p w14:paraId="0303179A" w14:textId="77777777" w:rsidR="00650B34" w:rsidRPr="00650B34" w:rsidRDefault="00650B34" w:rsidP="00650B34">
      <w:pPr>
        <w:spacing w:before="100" w:beforeAutospacing="1" w:after="100" w:afterAutospacing="1"/>
        <w:jc w:val="both"/>
        <w:rPr>
          <w:rFonts w:ascii="Tahoma" w:hAnsi="Tahoma" w:cs="Tahoma"/>
          <w:sz w:val="22"/>
          <w:szCs w:val="22"/>
        </w:rPr>
      </w:pPr>
      <w:r w:rsidRPr="00650B34">
        <w:rPr>
          <w:rFonts w:ascii="Tahoma" w:hAnsi="Tahoma" w:cs="Tahoma"/>
          <w:sz w:val="22"/>
          <w:szCs w:val="22"/>
        </w:rPr>
        <w:t>Ne. Banka lahko omogoči koriščenje kredita, za katerega je Sklad izdal garancijo samo po izdaji pozitivnega sklepa in po zaključenem postopku izdaje garancije.</w:t>
      </w:r>
    </w:p>
    <w:p w14:paraId="28AD178F" w14:textId="77777777" w:rsidR="00650B34" w:rsidRPr="00650B34" w:rsidRDefault="00650B34" w:rsidP="00650B34">
      <w:pPr>
        <w:numPr>
          <w:ilvl w:val="0"/>
          <w:numId w:val="1"/>
        </w:numPr>
        <w:jc w:val="both"/>
        <w:rPr>
          <w:rFonts w:ascii="Tahoma" w:hAnsi="Tahoma" w:cs="Tahoma"/>
          <w:b/>
          <w:bCs/>
          <w:sz w:val="22"/>
          <w:szCs w:val="22"/>
        </w:rPr>
      </w:pPr>
      <w:r w:rsidRPr="00650B34">
        <w:rPr>
          <w:rFonts w:ascii="Tahoma" w:hAnsi="Tahoma" w:cs="Tahoma"/>
          <w:b/>
          <w:bCs/>
          <w:sz w:val="22"/>
          <w:szCs w:val="22"/>
        </w:rPr>
        <w:t>Ali lahko banka podjetniku povrne stroške že plačanih računov za stroške investicije?</w:t>
      </w:r>
    </w:p>
    <w:p w14:paraId="136D8DAA" w14:textId="77777777" w:rsidR="00650B34" w:rsidRPr="00650B34" w:rsidRDefault="00650B34" w:rsidP="00650B34">
      <w:pPr>
        <w:spacing w:before="100" w:beforeAutospacing="1" w:after="100" w:afterAutospacing="1"/>
        <w:jc w:val="both"/>
        <w:rPr>
          <w:rFonts w:ascii="Tahoma" w:hAnsi="Tahoma" w:cs="Tahoma"/>
          <w:sz w:val="22"/>
          <w:szCs w:val="22"/>
        </w:rPr>
      </w:pPr>
      <w:r w:rsidRPr="00650B34">
        <w:rPr>
          <w:rFonts w:ascii="Tahoma" w:hAnsi="Tahoma" w:cs="Tahoma"/>
          <w:sz w:val="22"/>
          <w:szCs w:val="22"/>
        </w:rPr>
        <w:t>V primeru, da je račun za projekt delno že poravnan, se lahko povrne podjetju na njegov TRR samo v primeru, če ni bil poplačan z drugim kreditom in bi s tem nakazilom posredno nadomestili stare kredite. Banka mora pred povračilom (refundacijo) pridobiti soglasje Sklada. Povračilo (refundacija) se lahko nanaša na razumen delež investicije, ki ne sme presegati 70% celotne vrednosti projekta. Pri tem mora biti banka pozorna, da so ti stroški nastali v obdobju med 01.01.2026 in končnim rokom določenim v razpisu npr. do 31.12.2027. Ne more pa se iz kreditnih sredstev pokriti projekta, ki je bil že v celoti zaključen in financiran.</w:t>
      </w:r>
    </w:p>
    <w:p w14:paraId="6CE06C86" w14:textId="77777777" w:rsidR="00650B34" w:rsidRPr="00650B34" w:rsidRDefault="00650B34" w:rsidP="00650B34">
      <w:pPr>
        <w:numPr>
          <w:ilvl w:val="0"/>
          <w:numId w:val="1"/>
        </w:numPr>
        <w:spacing w:before="100" w:beforeAutospacing="1" w:after="100" w:afterAutospacing="1"/>
        <w:jc w:val="both"/>
        <w:rPr>
          <w:rFonts w:ascii="Tahoma" w:hAnsi="Tahoma" w:cs="Tahoma"/>
          <w:b/>
          <w:bCs/>
          <w:sz w:val="22"/>
          <w:szCs w:val="22"/>
        </w:rPr>
      </w:pPr>
      <w:r w:rsidRPr="00650B34">
        <w:rPr>
          <w:rFonts w:ascii="Tahoma" w:hAnsi="Tahoma" w:cs="Tahoma"/>
          <w:b/>
          <w:bCs/>
          <w:sz w:val="22"/>
          <w:szCs w:val="22"/>
        </w:rPr>
        <w:t>Kakšno višino zavarovanja mora banka zagotoviti poleg zavarovanja Sklada?</w:t>
      </w:r>
    </w:p>
    <w:p w14:paraId="78B0529A" w14:textId="77777777" w:rsidR="00650B34" w:rsidRPr="00650B34" w:rsidRDefault="00650B34" w:rsidP="00650B34">
      <w:pPr>
        <w:spacing w:before="100" w:beforeAutospacing="1" w:after="100" w:afterAutospacing="1"/>
        <w:jc w:val="both"/>
        <w:rPr>
          <w:rFonts w:ascii="Tahoma" w:hAnsi="Tahoma" w:cs="Tahoma"/>
          <w:sz w:val="22"/>
          <w:szCs w:val="22"/>
        </w:rPr>
      </w:pPr>
      <w:r w:rsidRPr="00650B34">
        <w:rPr>
          <w:rFonts w:ascii="Tahoma" w:hAnsi="Tahoma" w:cs="Tahoma"/>
          <w:sz w:val="22"/>
          <w:szCs w:val="22"/>
        </w:rPr>
        <w:t xml:space="preserve">Banka izvede zavarovanje kredita oz. določi njegovo višino v skladu z njeno oceno. Po priporočilu Sklada je </w:t>
      </w:r>
      <w:r w:rsidRPr="00650B34">
        <w:rPr>
          <w:rFonts w:ascii="Tahoma" w:hAnsi="Tahoma" w:cs="Tahoma"/>
          <w:noProof/>
          <w:sz w:val="22"/>
          <w:szCs w:val="22"/>
        </w:rPr>
        <w:t xml:space="preserve">sprejemljivo razmerje zavarovanja, med višino kredita in vrednostjo </w:t>
      </w:r>
      <w:r w:rsidRPr="00650B34">
        <w:rPr>
          <w:rFonts w:ascii="Tahoma" w:hAnsi="Tahoma" w:cs="Tahoma"/>
          <w:noProof/>
          <w:sz w:val="22"/>
          <w:szCs w:val="22"/>
        </w:rPr>
        <w:lastRenderedPageBreak/>
        <w:t xml:space="preserve">zavarovanja 1 : do največ 1. </w:t>
      </w:r>
      <w:r w:rsidRPr="00650B34">
        <w:rPr>
          <w:rFonts w:ascii="Tahoma" w:hAnsi="Tahoma" w:cs="Tahoma"/>
          <w:sz w:val="22"/>
          <w:szCs w:val="22"/>
        </w:rPr>
        <w:t>Pri tem razmerju se ne upošteva zavarovanje z garancijo Sklada.</w:t>
      </w:r>
    </w:p>
    <w:p w14:paraId="1F5DDCF3" w14:textId="77777777" w:rsidR="00650B34" w:rsidRPr="00650B34" w:rsidRDefault="00650B34" w:rsidP="00650B34">
      <w:pPr>
        <w:numPr>
          <w:ilvl w:val="0"/>
          <w:numId w:val="1"/>
        </w:numPr>
        <w:jc w:val="both"/>
        <w:rPr>
          <w:rFonts w:ascii="Tahoma" w:hAnsi="Tahoma" w:cs="Tahoma"/>
          <w:b/>
          <w:bCs/>
          <w:sz w:val="22"/>
          <w:szCs w:val="22"/>
        </w:rPr>
      </w:pPr>
      <w:r w:rsidRPr="00650B34">
        <w:rPr>
          <w:rFonts w:ascii="Tahoma" w:hAnsi="Tahoma" w:cs="Tahoma"/>
          <w:b/>
          <w:bCs/>
          <w:sz w:val="22"/>
          <w:szCs w:val="22"/>
        </w:rPr>
        <w:t>Ali obstajajo omejitve v zvezi s koriščenjem sredstev kredita glede na lastništvo in povezanost podjetij?</w:t>
      </w:r>
    </w:p>
    <w:p w14:paraId="6EF22B9E" w14:textId="77777777" w:rsidR="00650B34" w:rsidRPr="00650B34" w:rsidRDefault="00650B34" w:rsidP="00650B34">
      <w:pPr>
        <w:jc w:val="both"/>
        <w:rPr>
          <w:rFonts w:ascii="Tahoma" w:hAnsi="Tahoma" w:cs="Tahoma"/>
          <w:sz w:val="22"/>
          <w:szCs w:val="22"/>
        </w:rPr>
      </w:pPr>
    </w:p>
    <w:p w14:paraId="5B804854"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Nakup je dovoljeno izvesti le od tretjih oseb po tržnih pogojih, pri tem pa tretja oseba ne sme biti povezana z vlagateljem več kot 25 %.</w:t>
      </w:r>
    </w:p>
    <w:p w14:paraId="6363A923"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Za povezano osebo z vlagateljem se šteje lastniški delež pravne ali fizične osebe in povezanost preko funkcije osebe odgovorne za zastopanje podjetja (direktorja/predsednika/prokurista).</w:t>
      </w:r>
    </w:p>
    <w:p w14:paraId="015C8FC4" w14:textId="77777777" w:rsidR="00650B34" w:rsidRPr="00650B34" w:rsidRDefault="00650B34" w:rsidP="00650B34">
      <w:pPr>
        <w:jc w:val="both"/>
        <w:rPr>
          <w:rFonts w:ascii="Tahoma" w:hAnsi="Tahoma" w:cs="Tahoma"/>
          <w:sz w:val="22"/>
          <w:szCs w:val="22"/>
        </w:rPr>
      </w:pPr>
    </w:p>
    <w:p w14:paraId="570402D5"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Kadar družinski član prvotnega lastnika prevzame malo podjetje, se opusti pogoj, da se morajo sredstva kupiti od tretjih oseb, ki niso povezane s kupcem.</w:t>
      </w:r>
    </w:p>
    <w:p w14:paraId="4FED7ACC" w14:textId="77777777" w:rsidR="00650B34" w:rsidRPr="00650B34" w:rsidRDefault="00650B34" w:rsidP="00650B34">
      <w:pPr>
        <w:numPr>
          <w:ilvl w:val="0"/>
          <w:numId w:val="1"/>
        </w:numPr>
        <w:spacing w:before="100" w:beforeAutospacing="1" w:after="100" w:afterAutospacing="1"/>
        <w:jc w:val="both"/>
        <w:rPr>
          <w:rFonts w:ascii="Tahoma" w:hAnsi="Tahoma" w:cs="Tahoma"/>
          <w:b/>
          <w:bCs/>
          <w:sz w:val="22"/>
          <w:szCs w:val="22"/>
        </w:rPr>
      </w:pPr>
      <w:r w:rsidRPr="00650B34">
        <w:rPr>
          <w:rFonts w:ascii="Tahoma" w:hAnsi="Tahoma" w:cs="Tahoma"/>
          <w:b/>
          <w:bCs/>
          <w:sz w:val="22"/>
          <w:szCs w:val="22"/>
        </w:rPr>
        <w:t>Ali se lahko pri operaciji, ki se nanaša samo na investicijo poravnavajo tudi stroški DDV-ja?</w:t>
      </w:r>
    </w:p>
    <w:p w14:paraId="648CCC1C" w14:textId="77777777" w:rsidR="00650B34" w:rsidRPr="00650B34" w:rsidRDefault="00650B34" w:rsidP="00650B34">
      <w:pPr>
        <w:spacing w:before="100" w:beforeAutospacing="1" w:after="100" w:afterAutospacing="1"/>
        <w:jc w:val="both"/>
        <w:rPr>
          <w:rFonts w:ascii="Tahoma" w:hAnsi="Tahoma" w:cs="Tahoma"/>
          <w:sz w:val="22"/>
          <w:szCs w:val="22"/>
        </w:rPr>
      </w:pPr>
      <w:r w:rsidRPr="00650B34">
        <w:rPr>
          <w:rFonts w:ascii="Tahoma" w:hAnsi="Tahoma" w:cs="Tahoma"/>
          <w:sz w:val="22"/>
          <w:szCs w:val="22"/>
        </w:rPr>
        <w:t xml:space="preserve">Ne. Upoštevajo se samo neto stroški investicije. </w:t>
      </w:r>
    </w:p>
    <w:p w14:paraId="087F2C83" w14:textId="77777777" w:rsidR="00650B34" w:rsidRPr="00650B34" w:rsidRDefault="00650B34" w:rsidP="00650B34">
      <w:pPr>
        <w:numPr>
          <w:ilvl w:val="0"/>
          <w:numId w:val="1"/>
        </w:numPr>
        <w:jc w:val="both"/>
        <w:rPr>
          <w:rFonts w:ascii="Tahoma" w:hAnsi="Tahoma" w:cs="Tahoma"/>
          <w:b/>
          <w:bCs/>
          <w:sz w:val="22"/>
          <w:szCs w:val="22"/>
        </w:rPr>
      </w:pPr>
      <w:r w:rsidRPr="00650B34">
        <w:rPr>
          <w:rFonts w:ascii="Tahoma" w:hAnsi="Tahoma" w:cs="Tahoma"/>
          <w:b/>
          <w:bCs/>
          <w:sz w:val="22"/>
          <w:szCs w:val="22"/>
        </w:rPr>
        <w:t>Ali je možno kompenzacije šteti kot že plačane račune, ki bi se lahko povrnili (refundirali) iz sredstev kredita, odobrenega s strani Sklada?</w:t>
      </w:r>
    </w:p>
    <w:p w14:paraId="11DB4501" w14:textId="77777777" w:rsidR="00650B34" w:rsidRPr="00650B34" w:rsidRDefault="00650B34" w:rsidP="00650B34">
      <w:pPr>
        <w:jc w:val="both"/>
        <w:rPr>
          <w:rFonts w:ascii="Tahoma" w:hAnsi="Tahoma" w:cs="Tahoma"/>
          <w:sz w:val="22"/>
          <w:szCs w:val="22"/>
        </w:rPr>
      </w:pPr>
    </w:p>
    <w:p w14:paraId="23F2FFAC"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Če podjetje kompenzira račune za investicijo, si le-teh plačil ne more povrniti (refundirati) iz sredstev kredita.</w:t>
      </w:r>
    </w:p>
    <w:p w14:paraId="3C4727D3" w14:textId="77777777" w:rsidR="00650B34" w:rsidRPr="00650B34" w:rsidRDefault="00650B34" w:rsidP="00650B34">
      <w:pPr>
        <w:jc w:val="both"/>
        <w:rPr>
          <w:rFonts w:ascii="Tahoma" w:hAnsi="Tahoma" w:cs="Tahoma"/>
          <w:sz w:val="22"/>
          <w:szCs w:val="22"/>
        </w:rPr>
      </w:pPr>
    </w:p>
    <w:p w14:paraId="10CFA84A" w14:textId="77777777" w:rsidR="00650B34" w:rsidRPr="00650B34" w:rsidRDefault="00650B34" w:rsidP="00650B34">
      <w:pPr>
        <w:numPr>
          <w:ilvl w:val="0"/>
          <w:numId w:val="1"/>
        </w:numPr>
        <w:jc w:val="both"/>
        <w:rPr>
          <w:rFonts w:ascii="Tahoma" w:hAnsi="Tahoma" w:cs="Tahoma"/>
          <w:b/>
          <w:bCs/>
          <w:sz w:val="22"/>
          <w:szCs w:val="22"/>
        </w:rPr>
      </w:pPr>
      <w:r w:rsidRPr="00650B34">
        <w:rPr>
          <w:rFonts w:ascii="Tahoma" w:hAnsi="Tahoma" w:cs="Tahoma"/>
          <w:b/>
          <w:bCs/>
          <w:sz w:val="22"/>
          <w:szCs w:val="22"/>
        </w:rPr>
        <w:t xml:space="preserve">Ali je na podlagi </w:t>
      </w:r>
      <w:proofErr w:type="spellStart"/>
      <w:r w:rsidRPr="00650B34">
        <w:rPr>
          <w:rFonts w:ascii="Tahoma" w:hAnsi="Tahoma" w:cs="Tahoma"/>
          <w:b/>
          <w:bCs/>
          <w:sz w:val="22"/>
          <w:szCs w:val="22"/>
        </w:rPr>
        <w:t>asignacijske</w:t>
      </w:r>
      <w:proofErr w:type="spellEnd"/>
      <w:r w:rsidRPr="00650B34">
        <w:rPr>
          <w:rFonts w:ascii="Tahoma" w:hAnsi="Tahoma" w:cs="Tahoma"/>
          <w:b/>
          <w:bCs/>
          <w:sz w:val="22"/>
          <w:szCs w:val="22"/>
        </w:rPr>
        <w:t xml:space="preserve"> pogodbe dovoljeno koriščenje kreditnih sredstev?</w:t>
      </w:r>
    </w:p>
    <w:p w14:paraId="0977E22C" w14:textId="77777777" w:rsidR="00650B34" w:rsidRPr="00650B34" w:rsidRDefault="00650B34" w:rsidP="00650B34">
      <w:pPr>
        <w:jc w:val="both"/>
        <w:rPr>
          <w:rFonts w:ascii="Tahoma" w:hAnsi="Tahoma" w:cs="Tahoma"/>
          <w:sz w:val="22"/>
          <w:szCs w:val="22"/>
        </w:rPr>
      </w:pPr>
    </w:p>
    <w:p w14:paraId="572C69CE"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Asignacija z vsemi predpisanimi prilogami (</w:t>
      </w:r>
      <w:proofErr w:type="spellStart"/>
      <w:r w:rsidRPr="00650B34">
        <w:rPr>
          <w:rFonts w:ascii="Tahoma" w:hAnsi="Tahoma" w:cs="Tahoma"/>
          <w:sz w:val="22"/>
          <w:szCs w:val="22"/>
        </w:rPr>
        <w:t>asignacijska</w:t>
      </w:r>
      <w:proofErr w:type="spellEnd"/>
      <w:r w:rsidRPr="00650B34">
        <w:rPr>
          <w:rFonts w:ascii="Tahoma" w:hAnsi="Tahoma" w:cs="Tahoma"/>
          <w:sz w:val="22"/>
          <w:szCs w:val="22"/>
        </w:rPr>
        <w:t xml:space="preserve"> pogodba, računi), je lahko podlaga za koriščenje kreditnih sredstev.</w:t>
      </w:r>
    </w:p>
    <w:p w14:paraId="5DE3EA09" w14:textId="77777777" w:rsidR="00650B34" w:rsidRPr="00650B34" w:rsidRDefault="00650B34" w:rsidP="00650B34">
      <w:pPr>
        <w:jc w:val="both"/>
        <w:rPr>
          <w:rFonts w:ascii="Tahoma" w:hAnsi="Tahoma" w:cs="Tahoma"/>
          <w:sz w:val="22"/>
          <w:szCs w:val="22"/>
        </w:rPr>
      </w:pPr>
    </w:p>
    <w:p w14:paraId="0B96522F" w14:textId="7DB5B25D" w:rsidR="00650B34" w:rsidRPr="00650B34" w:rsidRDefault="00650B34" w:rsidP="00650B34">
      <w:pPr>
        <w:numPr>
          <w:ilvl w:val="0"/>
          <w:numId w:val="1"/>
        </w:numPr>
        <w:jc w:val="both"/>
        <w:rPr>
          <w:rFonts w:ascii="Tahoma" w:hAnsi="Tahoma" w:cs="Tahoma"/>
          <w:b/>
          <w:bCs/>
          <w:sz w:val="22"/>
          <w:szCs w:val="22"/>
        </w:rPr>
      </w:pPr>
      <w:r>
        <w:rPr>
          <w:rFonts w:ascii="Tahoma" w:hAnsi="Tahoma" w:cs="Tahoma"/>
          <w:b/>
          <w:bCs/>
          <w:sz w:val="22"/>
          <w:szCs w:val="22"/>
        </w:rPr>
        <w:t xml:space="preserve"> </w:t>
      </w:r>
      <w:r w:rsidRPr="00650B34">
        <w:rPr>
          <w:rFonts w:ascii="Tahoma" w:hAnsi="Tahoma" w:cs="Tahoma"/>
          <w:b/>
          <w:bCs/>
          <w:sz w:val="22"/>
          <w:szCs w:val="22"/>
        </w:rPr>
        <w:t>Kaj stori banka, če podjetnik želi spremembo upravičenih stroškov projekta, glede na prvotno, odobreno vlogo?</w:t>
      </w:r>
    </w:p>
    <w:p w14:paraId="20DB92AB" w14:textId="77777777" w:rsidR="00650B34" w:rsidRPr="00650B34" w:rsidRDefault="00650B34" w:rsidP="00650B34">
      <w:pPr>
        <w:ind w:left="180"/>
        <w:jc w:val="both"/>
        <w:rPr>
          <w:sz w:val="22"/>
          <w:szCs w:val="22"/>
        </w:rPr>
      </w:pPr>
      <w:r w:rsidRPr="00650B34">
        <w:rPr>
          <w:sz w:val="22"/>
          <w:szCs w:val="22"/>
        </w:rPr>
        <w:t xml:space="preserve"> </w:t>
      </w:r>
    </w:p>
    <w:p w14:paraId="22966970"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Ko banka in Sklad odobrita vlogo, lahko pride zaradi spremenjenih okoliščin do potrebe po spremembi upravičenih stroškov iz odobrene vloge s strani podjetnika. S spremembami morata soglašati tako banka, kakor tudi Sklad. Pri večjih odstopanjih, zaradi katerih so bistveno zmanjšani učinki projekta, ki jih je podjetje navedlo v vlogi, Sklad sprememb ne odobri.</w:t>
      </w:r>
    </w:p>
    <w:p w14:paraId="7F57B3D1" w14:textId="77777777" w:rsidR="00650B34" w:rsidRPr="00650B34" w:rsidRDefault="00650B34" w:rsidP="00650B34">
      <w:pPr>
        <w:jc w:val="both"/>
        <w:rPr>
          <w:rFonts w:ascii="Tahoma" w:hAnsi="Tahoma" w:cs="Tahoma"/>
          <w:sz w:val="22"/>
          <w:szCs w:val="22"/>
        </w:rPr>
      </w:pPr>
    </w:p>
    <w:p w14:paraId="629A59BA" w14:textId="191B3AF8" w:rsidR="00650B34" w:rsidRPr="00650B34" w:rsidRDefault="00650B34" w:rsidP="00650B34">
      <w:pPr>
        <w:numPr>
          <w:ilvl w:val="0"/>
          <w:numId w:val="1"/>
        </w:numPr>
        <w:jc w:val="both"/>
        <w:rPr>
          <w:rFonts w:ascii="Tahoma" w:hAnsi="Tahoma" w:cs="Tahoma"/>
          <w:b/>
          <w:bCs/>
          <w:sz w:val="22"/>
          <w:szCs w:val="22"/>
        </w:rPr>
      </w:pPr>
      <w:r>
        <w:rPr>
          <w:rFonts w:ascii="Tahoma" w:hAnsi="Tahoma" w:cs="Tahoma"/>
          <w:b/>
          <w:bCs/>
          <w:sz w:val="22"/>
          <w:szCs w:val="22"/>
        </w:rPr>
        <w:t xml:space="preserve"> </w:t>
      </w:r>
      <w:r w:rsidRPr="00650B34">
        <w:rPr>
          <w:rFonts w:ascii="Tahoma" w:hAnsi="Tahoma" w:cs="Tahoma"/>
          <w:b/>
          <w:bCs/>
          <w:sz w:val="22"/>
          <w:szCs w:val="22"/>
        </w:rPr>
        <w:t>Ali se lahko bančni stroški poravnavajo iz kreditnih sredstev?</w:t>
      </w:r>
    </w:p>
    <w:p w14:paraId="567117B3" w14:textId="77777777" w:rsidR="00650B34" w:rsidRPr="00650B34" w:rsidRDefault="00650B34" w:rsidP="00650B34">
      <w:pPr>
        <w:ind w:left="180"/>
        <w:jc w:val="both"/>
        <w:rPr>
          <w:rFonts w:ascii="Tahoma" w:hAnsi="Tahoma" w:cs="Tahoma"/>
          <w:sz w:val="22"/>
          <w:szCs w:val="22"/>
        </w:rPr>
      </w:pPr>
    </w:p>
    <w:p w14:paraId="4BA713C8"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Ne. Bančni stroški niso upravičeni stroški projekta, razen, če se projekt v celoti ali delno nanaša na financiranje obratnih sredstev.</w:t>
      </w:r>
    </w:p>
    <w:p w14:paraId="63AEACC1" w14:textId="77777777" w:rsidR="00650B34" w:rsidRPr="00650B34" w:rsidRDefault="00650B34" w:rsidP="00650B34">
      <w:pPr>
        <w:jc w:val="both"/>
        <w:rPr>
          <w:rFonts w:ascii="Tahoma" w:hAnsi="Tahoma" w:cs="Tahoma"/>
          <w:sz w:val="22"/>
          <w:szCs w:val="22"/>
        </w:rPr>
      </w:pPr>
    </w:p>
    <w:p w14:paraId="3F2664CB" w14:textId="44B20D51" w:rsidR="00650B34" w:rsidRPr="00650B34" w:rsidRDefault="00650B34" w:rsidP="00650B34">
      <w:pPr>
        <w:numPr>
          <w:ilvl w:val="0"/>
          <w:numId w:val="1"/>
        </w:numPr>
        <w:jc w:val="both"/>
        <w:rPr>
          <w:rFonts w:ascii="Tahoma" w:hAnsi="Tahoma" w:cs="Tahoma"/>
          <w:b/>
          <w:bCs/>
          <w:sz w:val="22"/>
          <w:szCs w:val="22"/>
        </w:rPr>
      </w:pPr>
      <w:r>
        <w:rPr>
          <w:rFonts w:ascii="Tahoma" w:hAnsi="Tahoma" w:cs="Tahoma"/>
          <w:b/>
          <w:bCs/>
          <w:sz w:val="22"/>
          <w:szCs w:val="22"/>
        </w:rPr>
        <w:t xml:space="preserve"> </w:t>
      </w:r>
      <w:r w:rsidRPr="00650B34">
        <w:rPr>
          <w:rFonts w:ascii="Tahoma" w:hAnsi="Tahoma" w:cs="Tahoma"/>
          <w:b/>
          <w:bCs/>
          <w:sz w:val="22"/>
          <w:szCs w:val="22"/>
        </w:rPr>
        <w:t>Ali je kreditojemalec ob koriščenju kreditnih sredstev dolžan banki predložiti račune v primeru, da se projekt nanaša na obratna sredstva?</w:t>
      </w:r>
    </w:p>
    <w:p w14:paraId="3EF5A32D" w14:textId="77777777" w:rsidR="00650B34" w:rsidRPr="00650B34" w:rsidRDefault="00650B34" w:rsidP="00650B34">
      <w:pPr>
        <w:ind w:left="360"/>
        <w:jc w:val="both"/>
        <w:rPr>
          <w:rFonts w:ascii="Tahoma" w:hAnsi="Tahoma" w:cs="Tahoma"/>
          <w:sz w:val="22"/>
          <w:szCs w:val="22"/>
        </w:rPr>
      </w:pPr>
    </w:p>
    <w:p w14:paraId="7081D09C"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 xml:space="preserve">Kreditojemalec je dolžan banki, ne glede na to, ali so predmet projekta investicijska sredstva ali obratna sredstva, pred vsakim koriščenjem predložit račune za upravičene stroške, na podlagi katerih banka namensko tj. na račun dobavitelja, nakaže kreditna sredstva. </w:t>
      </w:r>
    </w:p>
    <w:p w14:paraId="3F2CD3A7" w14:textId="77777777" w:rsidR="00650B34" w:rsidRPr="00650B34" w:rsidRDefault="00650B34" w:rsidP="00650B34">
      <w:pPr>
        <w:jc w:val="both"/>
        <w:rPr>
          <w:rFonts w:ascii="Tahoma" w:hAnsi="Tahoma" w:cs="Tahoma"/>
          <w:sz w:val="22"/>
          <w:szCs w:val="22"/>
        </w:rPr>
      </w:pPr>
    </w:p>
    <w:p w14:paraId="35C0858F" w14:textId="3E88A71A" w:rsidR="00650B34" w:rsidRPr="00650B34" w:rsidRDefault="00650B34" w:rsidP="00650B34">
      <w:pPr>
        <w:numPr>
          <w:ilvl w:val="0"/>
          <w:numId w:val="1"/>
        </w:numPr>
        <w:jc w:val="both"/>
        <w:rPr>
          <w:rFonts w:ascii="Tahoma" w:hAnsi="Tahoma" w:cs="Tahoma"/>
          <w:b/>
          <w:bCs/>
          <w:sz w:val="22"/>
          <w:szCs w:val="22"/>
        </w:rPr>
      </w:pPr>
      <w:r>
        <w:rPr>
          <w:rFonts w:ascii="Tahoma" w:hAnsi="Tahoma" w:cs="Tahoma"/>
          <w:b/>
          <w:bCs/>
          <w:sz w:val="22"/>
          <w:szCs w:val="22"/>
        </w:rPr>
        <w:lastRenderedPageBreak/>
        <w:t xml:space="preserve"> </w:t>
      </w:r>
      <w:r w:rsidRPr="00650B34">
        <w:rPr>
          <w:rFonts w:ascii="Tahoma" w:hAnsi="Tahoma" w:cs="Tahoma"/>
          <w:b/>
          <w:bCs/>
          <w:sz w:val="22"/>
          <w:szCs w:val="22"/>
        </w:rPr>
        <w:t>Ali lahko banka podjetju povrne stroške že plačanih računov za stroške obratnih sredstev?</w:t>
      </w:r>
    </w:p>
    <w:p w14:paraId="35D09B43" w14:textId="77777777" w:rsidR="00650B34" w:rsidRPr="00650B34" w:rsidRDefault="00650B34" w:rsidP="00650B34">
      <w:pPr>
        <w:jc w:val="both"/>
        <w:rPr>
          <w:rFonts w:ascii="Tahoma" w:hAnsi="Tahoma" w:cs="Tahoma"/>
          <w:sz w:val="22"/>
          <w:szCs w:val="22"/>
        </w:rPr>
      </w:pPr>
    </w:p>
    <w:p w14:paraId="1EE12ACA"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 xml:space="preserve">Ne. Banka lahko podjetniku poravna samo zapadle in </w:t>
      </w:r>
      <w:proofErr w:type="spellStart"/>
      <w:r w:rsidRPr="00650B34">
        <w:rPr>
          <w:rFonts w:ascii="Tahoma" w:hAnsi="Tahoma" w:cs="Tahoma"/>
          <w:sz w:val="22"/>
          <w:szCs w:val="22"/>
        </w:rPr>
        <w:t>nezapadle</w:t>
      </w:r>
      <w:proofErr w:type="spellEnd"/>
      <w:r w:rsidRPr="00650B34">
        <w:rPr>
          <w:rFonts w:ascii="Tahoma" w:hAnsi="Tahoma" w:cs="Tahoma"/>
          <w:sz w:val="22"/>
          <w:szCs w:val="22"/>
        </w:rPr>
        <w:t xml:space="preserve"> še neplačane račune za obratna sredstva. Pri tem mora biti banka pozorna, da so ti stroški nastali v obdobju med 01.01.2026 in končnim rokom, določenim v razpisu npr. do 31.12.2027.</w:t>
      </w:r>
    </w:p>
    <w:p w14:paraId="3F334BDE" w14:textId="77777777" w:rsidR="00650B34" w:rsidRPr="00650B34" w:rsidRDefault="00650B34" w:rsidP="00650B34">
      <w:pPr>
        <w:jc w:val="both"/>
        <w:rPr>
          <w:rFonts w:ascii="Tahoma" w:hAnsi="Tahoma" w:cs="Tahoma"/>
          <w:sz w:val="22"/>
          <w:szCs w:val="22"/>
        </w:rPr>
      </w:pPr>
    </w:p>
    <w:p w14:paraId="2DF25E3D" w14:textId="1B7F5A1A" w:rsidR="00650B34" w:rsidRPr="00650B34" w:rsidRDefault="00650B34" w:rsidP="00650B34">
      <w:pPr>
        <w:numPr>
          <w:ilvl w:val="0"/>
          <w:numId w:val="1"/>
        </w:numPr>
        <w:jc w:val="both"/>
        <w:rPr>
          <w:rFonts w:ascii="Tahoma" w:hAnsi="Tahoma" w:cs="Tahoma"/>
          <w:b/>
          <w:bCs/>
          <w:sz w:val="22"/>
          <w:szCs w:val="22"/>
        </w:rPr>
      </w:pPr>
      <w:r>
        <w:rPr>
          <w:rFonts w:ascii="Tahoma" w:hAnsi="Tahoma" w:cs="Tahoma"/>
          <w:b/>
          <w:bCs/>
          <w:sz w:val="22"/>
          <w:szCs w:val="22"/>
        </w:rPr>
        <w:t xml:space="preserve"> </w:t>
      </w:r>
      <w:r w:rsidRPr="00650B34">
        <w:rPr>
          <w:rFonts w:ascii="Tahoma" w:hAnsi="Tahoma" w:cs="Tahoma"/>
          <w:b/>
          <w:bCs/>
          <w:sz w:val="22"/>
          <w:szCs w:val="22"/>
        </w:rPr>
        <w:t>Ali lahko banka znesek računa za obratna sredstva nakaže na TRR podjetja – kreditojemalca?</w:t>
      </w:r>
    </w:p>
    <w:p w14:paraId="461614CA" w14:textId="77777777" w:rsidR="00650B34" w:rsidRPr="00650B34" w:rsidRDefault="00650B34" w:rsidP="00650B34">
      <w:pPr>
        <w:ind w:left="644"/>
        <w:jc w:val="both"/>
        <w:rPr>
          <w:rFonts w:ascii="Tahoma" w:hAnsi="Tahoma" w:cs="Tahoma"/>
          <w:sz w:val="22"/>
          <w:szCs w:val="22"/>
        </w:rPr>
      </w:pPr>
    </w:p>
    <w:p w14:paraId="58285FED" w14:textId="77777777" w:rsidR="00650B34" w:rsidRPr="00650B34" w:rsidRDefault="00650B34" w:rsidP="00650B34">
      <w:pPr>
        <w:spacing w:after="200"/>
        <w:contextualSpacing/>
        <w:jc w:val="both"/>
        <w:rPr>
          <w:rFonts w:ascii="Tahoma" w:eastAsia="Calibri" w:hAnsi="Tahoma" w:cs="Tahoma"/>
          <w:sz w:val="22"/>
          <w:szCs w:val="22"/>
          <w:lang w:eastAsia="en-US"/>
        </w:rPr>
      </w:pPr>
      <w:r w:rsidRPr="00650B34">
        <w:rPr>
          <w:rFonts w:ascii="Tahoma" w:eastAsia="Calibri" w:hAnsi="Tahoma" w:cs="Tahoma"/>
          <w:sz w:val="22"/>
          <w:szCs w:val="22"/>
          <w:lang w:eastAsia="en-US"/>
        </w:rPr>
        <w:t>Banka lahko znesek računa nakaže na TRR podjetja – kreditojemalca IZJEMOMA, vendar mora v tem primeru kreditojemalec banki predložiti potrdilo o prenosu sredstev izdajatelju računa ter seveda račun, ki je bil podlaga nakazilu. Te izjeme se nanašajo na plačilo plač in davkov ter ostalih obveznosti, katere banka ne more direktno poravnati (plačilni promet s tujino, dokumentacija v zvezi z obračunom in plačilom plač ter dohodnina, prispevki iz in na plačo, povračilo stroškov prevoza na delo in z dela, stroški prehrane med delom itd.). Za prehodno obdobje, do pridobitve računov nosi tveganje banka.</w:t>
      </w:r>
    </w:p>
    <w:p w14:paraId="1FF4D912" w14:textId="77777777" w:rsidR="00650B34" w:rsidRPr="00650B34" w:rsidRDefault="00650B34" w:rsidP="00650B34">
      <w:pPr>
        <w:spacing w:after="200"/>
        <w:contextualSpacing/>
        <w:jc w:val="both"/>
        <w:rPr>
          <w:rFonts w:ascii="Tahoma" w:eastAsia="Calibri" w:hAnsi="Tahoma" w:cs="Tahoma"/>
          <w:sz w:val="22"/>
          <w:szCs w:val="22"/>
          <w:lang w:eastAsia="en-US"/>
        </w:rPr>
      </w:pPr>
    </w:p>
    <w:p w14:paraId="0F385671" w14:textId="77777777" w:rsidR="00650B34" w:rsidRDefault="00650B34" w:rsidP="00650B34">
      <w:pPr>
        <w:numPr>
          <w:ilvl w:val="0"/>
          <w:numId w:val="1"/>
        </w:numPr>
        <w:spacing w:before="100" w:beforeAutospacing="1" w:after="100" w:afterAutospacing="1" w:line="276" w:lineRule="auto"/>
        <w:contextualSpacing/>
        <w:jc w:val="both"/>
        <w:rPr>
          <w:rFonts w:ascii="Tahoma" w:eastAsia="Calibri" w:hAnsi="Tahoma" w:cs="Tahoma"/>
          <w:b/>
          <w:bCs/>
          <w:sz w:val="22"/>
          <w:szCs w:val="22"/>
          <w:lang w:eastAsia="en-US"/>
        </w:rPr>
      </w:pPr>
      <w:r w:rsidRPr="00650B34">
        <w:rPr>
          <w:rFonts w:ascii="Tahoma" w:eastAsia="Calibri" w:hAnsi="Tahoma" w:cs="Tahoma"/>
          <w:b/>
          <w:bCs/>
          <w:sz w:val="22"/>
          <w:szCs w:val="22"/>
          <w:lang w:eastAsia="en-US"/>
        </w:rPr>
        <w:t>Kako je s plačilom DDV-ja po računih za upravičene stroške projekta?</w:t>
      </w:r>
    </w:p>
    <w:p w14:paraId="67E87334" w14:textId="77777777" w:rsidR="00650B34" w:rsidRPr="00650B34" w:rsidRDefault="00650B34" w:rsidP="00650B34">
      <w:pPr>
        <w:spacing w:before="100" w:beforeAutospacing="1" w:after="100" w:afterAutospacing="1" w:line="276" w:lineRule="auto"/>
        <w:ind w:left="644"/>
        <w:contextualSpacing/>
        <w:jc w:val="both"/>
        <w:rPr>
          <w:rFonts w:ascii="Tahoma" w:eastAsia="Calibri" w:hAnsi="Tahoma" w:cs="Tahoma"/>
          <w:b/>
          <w:bCs/>
          <w:sz w:val="22"/>
          <w:szCs w:val="22"/>
          <w:lang w:eastAsia="en-US"/>
        </w:rPr>
      </w:pPr>
    </w:p>
    <w:p w14:paraId="7F58EACA" w14:textId="77777777" w:rsidR="00650B34" w:rsidRPr="00650B34" w:rsidRDefault="00650B34" w:rsidP="00650B34">
      <w:pPr>
        <w:jc w:val="both"/>
        <w:rPr>
          <w:rFonts w:ascii="Tahoma" w:hAnsi="Tahoma" w:cs="Tahoma"/>
          <w:sz w:val="22"/>
          <w:szCs w:val="22"/>
        </w:rPr>
      </w:pPr>
      <w:r w:rsidRPr="00650B34">
        <w:rPr>
          <w:rFonts w:ascii="Tahoma" w:hAnsi="Tahoma" w:cs="Tahoma"/>
          <w:sz w:val="22"/>
          <w:szCs w:val="22"/>
        </w:rPr>
        <w:t>Pri koriščenju kredita se plačujejo upravičeni stroški projekta, ki so bili odobreni z vlogo podjetja. Ali se plačujejo neto vrednosti (brez DDV) ali bruto vrednosti (z DDV), pa je potrebno upoštevati določila javnega razpisa, in sicer:</w:t>
      </w:r>
    </w:p>
    <w:p w14:paraId="11343B00" w14:textId="77777777" w:rsidR="00650B34" w:rsidRPr="00650B34" w:rsidRDefault="00650B34" w:rsidP="00650B34">
      <w:pPr>
        <w:ind w:left="284"/>
        <w:jc w:val="both"/>
        <w:rPr>
          <w:rFonts w:ascii="Tahoma" w:hAnsi="Tahoma" w:cs="Tahoma"/>
          <w:b/>
          <w:bCs/>
          <w:sz w:val="22"/>
          <w:szCs w:val="22"/>
        </w:rPr>
      </w:pPr>
      <w:r w:rsidRPr="00650B34">
        <w:rPr>
          <w:rFonts w:ascii="Tahoma" w:hAnsi="Tahoma" w:cs="Tahoma"/>
          <w:b/>
          <w:bCs/>
          <w:sz w:val="22"/>
          <w:szCs w:val="22"/>
        </w:rPr>
        <w:t>Za vse upravičene stroške se upoštevajo neto vrednosti (brez DDV). Izjema velja za podjetja, ki niso zavezanci za DDV. Pri njih se vsi upravičeni stroški priznajo v bruto vrednosti (torej vrednost računa z DDV).</w:t>
      </w:r>
    </w:p>
    <w:p w14:paraId="1BC82CF8" w14:textId="77777777" w:rsidR="00650B34" w:rsidRPr="00650B34" w:rsidRDefault="00650B34" w:rsidP="00650B34">
      <w:pPr>
        <w:jc w:val="both"/>
        <w:rPr>
          <w:rFonts w:ascii="Tahoma" w:hAnsi="Tahoma" w:cs="Tahoma"/>
          <w:sz w:val="22"/>
          <w:szCs w:val="22"/>
        </w:rPr>
      </w:pPr>
    </w:p>
    <w:p w14:paraId="6971E1E2" w14:textId="77777777" w:rsidR="00650B34" w:rsidRPr="00650B34" w:rsidRDefault="00650B34" w:rsidP="00650B34">
      <w:pPr>
        <w:spacing w:before="100" w:beforeAutospacing="1" w:after="100" w:afterAutospacing="1"/>
        <w:ind w:left="709" w:hanging="425"/>
        <w:jc w:val="both"/>
        <w:rPr>
          <w:rFonts w:ascii="Tahoma" w:hAnsi="Tahoma" w:cs="Tahoma"/>
          <w:b/>
          <w:bCs/>
          <w:sz w:val="22"/>
          <w:szCs w:val="22"/>
        </w:rPr>
      </w:pPr>
      <w:r w:rsidRPr="00650B34">
        <w:rPr>
          <w:rFonts w:ascii="Tahoma" w:hAnsi="Tahoma" w:cs="Tahoma"/>
          <w:b/>
          <w:bCs/>
          <w:sz w:val="22"/>
          <w:szCs w:val="22"/>
        </w:rPr>
        <w:t xml:space="preserve">16. Ali so plačila potnih stroškov za poslovna potovanja, jubilejna nagrada upravičeni stroški iz naslova plač razpisa P1-2 plus 2026? </w:t>
      </w:r>
    </w:p>
    <w:p w14:paraId="50F3995B" w14:textId="77777777" w:rsidR="00650B34" w:rsidRPr="00650B34" w:rsidRDefault="00650B34" w:rsidP="00650B34">
      <w:pPr>
        <w:spacing w:before="100" w:beforeAutospacing="1" w:after="100" w:afterAutospacing="1"/>
        <w:jc w:val="both"/>
        <w:rPr>
          <w:rFonts w:ascii="Tahoma" w:hAnsi="Tahoma" w:cs="Tahoma"/>
          <w:sz w:val="22"/>
          <w:szCs w:val="22"/>
        </w:rPr>
      </w:pPr>
      <w:r w:rsidRPr="00650B34">
        <w:rPr>
          <w:rFonts w:ascii="Tahoma" w:hAnsi="Tahoma" w:cs="Tahoma"/>
          <w:sz w:val="22"/>
          <w:szCs w:val="22"/>
        </w:rPr>
        <w:t xml:space="preserve">Ne, izdatki za plače se lahko nanašajo le na naslednje vrste stroškov: (redna) neto plača, dohodnina, prispevki iz in na plačo oz. za </w:t>
      </w:r>
      <w:proofErr w:type="spellStart"/>
      <w:r w:rsidRPr="00650B34">
        <w:rPr>
          <w:rFonts w:ascii="Tahoma" w:hAnsi="Tahoma" w:cs="Tahoma"/>
          <w:sz w:val="22"/>
          <w:szCs w:val="22"/>
        </w:rPr>
        <w:t>s.p</w:t>
      </w:r>
      <w:proofErr w:type="spellEnd"/>
      <w:r w:rsidRPr="00650B34">
        <w:rPr>
          <w:rFonts w:ascii="Tahoma" w:hAnsi="Tahoma" w:cs="Tahoma"/>
          <w:sz w:val="22"/>
          <w:szCs w:val="22"/>
        </w:rPr>
        <w:t>-je prispevke za socialno varnost, povračilo stroškov prevoza na delo in z dela, stroški prehrane med delom, regres.</w:t>
      </w:r>
    </w:p>
    <w:p w14:paraId="4BF43ED6" w14:textId="42503D78" w:rsidR="006A4A4D" w:rsidRDefault="006A4A4D" w:rsidP="00650B34">
      <w:pPr>
        <w:spacing w:before="100" w:beforeAutospacing="1" w:after="100" w:afterAutospacing="1"/>
        <w:ind w:left="644"/>
        <w:jc w:val="both"/>
      </w:pPr>
    </w:p>
    <w:sectPr w:rsidR="006A4A4D" w:rsidSect="00992A09">
      <w:pgSz w:w="11906" w:h="16838"/>
      <w:pgMar w:top="141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396F"/>
    <w:multiLevelType w:val="hybridMultilevel"/>
    <w:tmpl w:val="A29CA974"/>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 w15:restartNumberingAfterBreak="0">
    <w:nsid w:val="39CB5E4F"/>
    <w:multiLevelType w:val="hybridMultilevel"/>
    <w:tmpl w:val="88524D3E"/>
    <w:lvl w:ilvl="0" w:tplc="0424000B">
      <w:start w:val="1"/>
      <w:numFmt w:val="bullet"/>
      <w:lvlText w:val=""/>
      <w:lvlJc w:val="left"/>
      <w:pPr>
        <w:ind w:left="795" w:hanging="360"/>
      </w:pPr>
      <w:rPr>
        <w:rFonts w:ascii="Wingdings" w:hAnsi="Wingdings"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2" w15:restartNumberingAfterBreak="0">
    <w:nsid w:val="79CB2F73"/>
    <w:multiLevelType w:val="hybridMultilevel"/>
    <w:tmpl w:val="334E80AA"/>
    <w:lvl w:ilvl="0" w:tplc="04240003">
      <w:start w:val="1"/>
      <w:numFmt w:val="bullet"/>
      <w:lvlText w:val="o"/>
      <w:lvlJc w:val="left"/>
      <w:pPr>
        <w:ind w:left="1495" w:hanging="360"/>
      </w:pPr>
      <w:rPr>
        <w:rFonts w:ascii="Courier New" w:hAnsi="Courier New" w:cs="Courier New" w:hint="default"/>
      </w:rPr>
    </w:lvl>
    <w:lvl w:ilvl="1" w:tplc="04240003" w:tentative="1">
      <w:start w:val="1"/>
      <w:numFmt w:val="bullet"/>
      <w:lvlText w:val="o"/>
      <w:lvlJc w:val="left"/>
      <w:pPr>
        <w:ind w:left="2310" w:hanging="360"/>
      </w:pPr>
      <w:rPr>
        <w:rFonts w:ascii="Courier New" w:hAnsi="Courier New" w:cs="Courier New" w:hint="default"/>
      </w:rPr>
    </w:lvl>
    <w:lvl w:ilvl="2" w:tplc="04240005" w:tentative="1">
      <w:start w:val="1"/>
      <w:numFmt w:val="bullet"/>
      <w:lvlText w:val=""/>
      <w:lvlJc w:val="left"/>
      <w:pPr>
        <w:ind w:left="3030" w:hanging="360"/>
      </w:pPr>
      <w:rPr>
        <w:rFonts w:ascii="Wingdings" w:hAnsi="Wingdings" w:hint="default"/>
      </w:rPr>
    </w:lvl>
    <w:lvl w:ilvl="3" w:tplc="04240001" w:tentative="1">
      <w:start w:val="1"/>
      <w:numFmt w:val="bullet"/>
      <w:lvlText w:val=""/>
      <w:lvlJc w:val="left"/>
      <w:pPr>
        <w:ind w:left="3750" w:hanging="360"/>
      </w:pPr>
      <w:rPr>
        <w:rFonts w:ascii="Symbol" w:hAnsi="Symbol" w:hint="default"/>
      </w:rPr>
    </w:lvl>
    <w:lvl w:ilvl="4" w:tplc="04240003" w:tentative="1">
      <w:start w:val="1"/>
      <w:numFmt w:val="bullet"/>
      <w:lvlText w:val="o"/>
      <w:lvlJc w:val="left"/>
      <w:pPr>
        <w:ind w:left="4470" w:hanging="360"/>
      </w:pPr>
      <w:rPr>
        <w:rFonts w:ascii="Courier New" w:hAnsi="Courier New" w:cs="Courier New" w:hint="default"/>
      </w:rPr>
    </w:lvl>
    <w:lvl w:ilvl="5" w:tplc="04240005" w:tentative="1">
      <w:start w:val="1"/>
      <w:numFmt w:val="bullet"/>
      <w:lvlText w:val=""/>
      <w:lvlJc w:val="left"/>
      <w:pPr>
        <w:ind w:left="5190" w:hanging="360"/>
      </w:pPr>
      <w:rPr>
        <w:rFonts w:ascii="Wingdings" w:hAnsi="Wingdings" w:hint="default"/>
      </w:rPr>
    </w:lvl>
    <w:lvl w:ilvl="6" w:tplc="04240001" w:tentative="1">
      <w:start w:val="1"/>
      <w:numFmt w:val="bullet"/>
      <w:lvlText w:val=""/>
      <w:lvlJc w:val="left"/>
      <w:pPr>
        <w:ind w:left="5910" w:hanging="360"/>
      </w:pPr>
      <w:rPr>
        <w:rFonts w:ascii="Symbol" w:hAnsi="Symbol" w:hint="default"/>
      </w:rPr>
    </w:lvl>
    <w:lvl w:ilvl="7" w:tplc="04240003" w:tentative="1">
      <w:start w:val="1"/>
      <w:numFmt w:val="bullet"/>
      <w:lvlText w:val="o"/>
      <w:lvlJc w:val="left"/>
      <w:pPr>
        <w:ind w:left="6630" w:hanging="360"/>
      </w:pPr>
      <w:rPr>
        <w:rFonts w:ascii="Courier New" w:hAnsi="Courier New" w:cs="Courier New" w:hint="default"/>
      </w:rPr>
    </w:lvl>
    <w:lvl w:ilvl="8" w:tplc="04240005" w:tentative="1">
      <w:start w:val="1"/>
      <w:numFmt w:val="bullet"/>
      <w:lvlText w:val=""/>
      <w:lvlJc w:val="left"/>
      <w:pPr>
        <w:ind w:left="7350" w:hanging="360"/>
      </w:pPr>
      <w:rPr>
        <w:rFonts w:ascii="Wingdings" w:hAnsi="Wingdings" w:hint="default"/>
      </w:rPr>
    </w:lvl>
  </w:abstractNum>
  <w:num w:numId="1" w16cid:durableId="590285782">
    <w:abstractNumId w:val="0"/>
  </w:num>
  <w:num w:numId="2" w16cid:durableId="1558936055">
    <w:abstractNumId w:val="1"/>
  </w:num>
  <w:num w:numId="3" w16cid:durableId="9856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A4D"/>
    <w:rsid w:val="000010CC"/>
    <w:rsid w:val="00164FEA"/>
    <w:rsid w:val="002A72BE"/>
    <w:rsid w:val="002E3E68"/>
    <w:rsid w:val="00301268"/>
    <w:rsid w:val="0031681B"/>
    <w:rsid w:val="0051250E"/>
    <w:rsid w:val="00641CC3"/>
    <w:rsid w:val="00650B34"/>
    <w:rsid w:val="006A4A4D"/>
    <w:rsid w:val="00975343"/>
    <w:rsid w:val="00992A09"/>
    <w:rsid w:val="009C1028"/>
    <w:rsid w:val="00CF7DE0"/>
    <w:rsid w:val="00D52AB8"/>
    <w:rsid w:val="00E90E25"/>
    <w:rsid w:val="00F02A92"/>
    <w:rsid w:val="00F25529"/>
    <w:rsid w:val="00FB14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D6B4"/>
  <w15:docId w15:val="{CB315A72-4481-42B7-AF45-A4A8B1FB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4A4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A4A4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4A4D"/>
    <w:rPr>
      <w:rFonts w:ascii="Tahoma" w:eastAsia="Times New Roman" w:hAnsi="Tahoma" w:cs="Tahoma"/>
      <w:sz w:val="16"/>
      <w:szCs w:val="16"/>
      <w:lang w:eastAsia="sl-SI"/>
    </w:rPr>
  </w:style>
  <w:style w:type="paragraph" w:styleId="Odstavekseznama">
    <w:name w:val="List Paragraph"/>
    <w:aliases w:val="K1,Table of contents numbered,Elenco num ARGEA,body,Odsek zoznamu2,za tekst,Označevanje,List Paragraph2,Bullet Number,Num Bullet 1,lp1,lp11,List Paragraph11,Normal bullet 2,Tabela - prazna vrstica,List Paragraph1,naslov 1,Bullet 1"/>
    <w:basedOn w:val="Navaden"/>
    <w:link w:val="OdstavekseznamaZnak"/>
    <w:uiPriority w:val="34"/>
    <w:qFormat/>
    <w:rsid w:val="006A4A4D"/>
    <w:pPr>
      <w:spacing w:after="200" w:line="276" w:lineRule="auto"/>
      <w:ind w:left="720"/>
      <w:contextualSpacing/>
    </w:pPr>
    <w:rPr>
      <w:rFonts w:ascii="Calibri" w:eastAsia="Calibri" w:hAnsi="Calibri"/>
      <w:sz w:val="22"/>
      <w:szCs w:val="22"/>
      <w:lang w:eastAsia="en-US"/>
    </w:rPr>
  </w:style>
  <w:style w:type="character" w:customStyle="1" w:styleId="OdstavekseznamaZnak">
    <w:name w:val="Odstavek seznama Znak"/>
    <w:aliases w:val="K1 Znak,Table of contents numbered Znak,Elenco num ARGEA Znak,body Znak,Odsek zoznamu2 Znak,za tekst Znak,Označevanje Znak,List Paragraph2 Znak,Bullet Number Znak,Num Bullet 1 Znak,lp1 Znak,lp11 Znak,List Paragraph11 Znak"/>
    <w:link w:val="Odstavekseznama"/>
    <w:uiPriority w:val="34"/>
    <w:qFormat/>
    <w:rsid w:val="006A4A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7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1001</Words>
  <Characters>5709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Kepnik Hiter</dc:creator>
  <cp:lastModifiedBy>Jasna Kepnik</cp:lastModifiedBy>
  <cp:revision>6</cp:revision>
  <dcterms:created xsi:type="dcterms:W3CDTF">2025-02-27T09:51:00Z</dcterms:created>
  <dcterms:modified xsi:type="dcterms:W3CDTF">2026-04-20T09:58:00Z</dcterms:modified>
</cp:coreProperties>
</file>