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B2C7" w14:textId="77777777" w:rsidR="001255AF" w:rsidRPr="00DC66E0" w:rsidRDefault="001255AF" w:rsidP="001255AF">
      <w:pPr>
        <w:jc w:val="right"/>
        <w:rPr>
          <w:rFonts w:ascii="Tahoma" w:hAnsi="Tahoma" w:cs="Tahoma"/>
          <w:b/>
          <w:bCs/>
        </w:rPr>
      </w:pPr>
      <w:r w:rsidRPr="00DC66E0">
        <w:rPr>
          <w:rFonts w:ascii="Tahoma" w:hAnsi="Tahoma" w:cs="Tahoma"/>
          <w:noProof/>
        </w:rPr>
        <w:drawing>
          <wp:inline distT="0" distB="0" distL="0" distR="0" wp14:anchorId="54C9FAD7" wp14:editId="11B56722">
            <wp:extent cx="2447925" cy="428625"/>
            <wp:effectExtent l="0" t="0" r="9525" b="9525"/>
            <wp:docPr id="876337875" name="Slika 2" descr="Slika, ki vsebuje besede grafika, simbol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37875" name="Slika 2" descr="Slika, ki vsebuje besede grafika, simbol,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40B5" w14:textId="77777777" w:rsidR="001255AF" w:rsidRPr="00DC66E0" w:rsidRDefault="001255AF" w:rsidP="001255AF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46520D03" w14:textId="77777777" w:rsidR="001255AF" w:rsidRDefault="001255AF" w:rsidP="001255AF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inline distT="0" distB="0" distL="0" distR="0" wp14:anchorId="60B0B2EC" wp14:editId="75CCEB3C">
            <wp:extent cx="5941060" cy="845185"/>
            <wp:effectExtent l="0" t="0" r="0" b="0"/>
            <wp:docPr id="118982935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AE0D" w14:textId="77777777" w:rsidR="00D04250" w:rsidRDefault="00D04250"/>
    <w:p w14:paraId="7BD74337" w14:textId="77777777" w:rsidR="00D04250" w:rsidRDefault="00D04250"/>
    <w:p w14:paraId="18445973" w14:textId="77777777" w:rsidR="00E54188" w:rsidRDefault="00E54188" w:rsidP="00E5418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Roki in dokazila za predložitev zahtevka za izplačilo</w:t>
      </w:r>
    </w:p>
    <w:p w14:paraId="1128495A" w14:textId="77777777" w:rsidR="00E54188" w:rsidRDefault="00E54188" w:rsidP="00E54188">
      <w:pPr>
        <w:jc w:val="both"/>
        <w:rPr>
          <w:rFonts w:ascii="Tahoma" w:hAnsi="Tahoma" w:cs="Tahoma"/>
          <w:color w:val="000000"/>
        </w:rPr>
      </w:pPr>
    </w:p>
    <w:p w14:paraId="5192BA7D" w14:textId="77777777" w:rsidR="00E54188" w:rsidRDefault="00E54188" w:rsidP="00E54188">
      <w:pPr>
        <w:jc w:val="both"/>
        <w:rPr>
          <w:rFonts w:ascii="Tahoma" w:hAnsi="Tahoma" w:cs="Tahoma"/>
          <w:color w:val="000000"/>
        </w:rPr>
      </w:pPr>
    </w:p>
    <w:p w14:paraId="0509417A" w14:textId="77777777" w:rsidR="00E54188" w:rsidRDefault="00E54188" w:rsidP="00E54188">
      <w:pPr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 xml:space="preserve">Obdobje upravičenosti stroškov in izdatkov je </w:t>
      </w:r>
      <w:r>
        <w:rPr>
          <w:rFonts w:ascii="Tahoma" w:hAnsi="Tahoma" w:cs="Tahoma"/>
          <w:b/>
          <w:bCs/>
          <w:color w:val="000000"/>
        </w:rPr>
        <w:t>od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 xml:space="preserve">datuma oddaje vloge: </w:t>
      </w:r>
    </w:p>
    <w:p w14:paraId="4F21A6A8" w14:textId="77777777" w:rsidR="00E54188" w:rsidRDefault="00E54188" w:rsidP="00E54188">
      <w:pPr>
        <w:jc w:val="both"/>
      </w:pPr>
    </w:p>
    <w:p w14:paraId="590363DB" w14:textId="61B0FF0B" w:rsidR="00E54188" w:rsidRDefault="00E54188" w:rsidP="00E54188">
      <w:pPr>
        <w:pStyle w:val="Odstavekseznama"/>
        <w:numPr>
          <w:ilvl w:val="0"/>
          <w:numId w:val="1"/>
        </w:numPr>
        <w:jc w:val="both"/>
      </w:pPr>
      <w:r w:rsidRPr="00D565F3">
        <w:rPr>
          <w:rFonts w:ascii="Tahoma" w:hAnsi="Tahoma" w:cs="Tahoma"/>
          <w:b/>
          <w:bCs/>
          <w:color w:val="000000"/>
        </w:rPr>
        <w:t>do</w:t>
      </w:r>
      <w:r w:rsidRPr="005C43E1">
        <w:rPr>
          <w:rFonts w:ascii="Tahoma" w:hAnsi="Tahoma" w:cs="Tahoma"/>
          <w:b/>
          <w:bCs/>
          <w:color w:val="000000"/>
        </w:rPr>
        <w:t xml:space="preserve"> </w:t>
      </w:r>
      <w:r w:rsidR="00D0092C">
        <w:rPr>
          <w:rFonts w:ascii="Tahoma" w:hAnsi="Tahoma" w:cs="Tahoma"/>
          <w:b/>
          <w:bCs/>
          <w:color w:val="000000"/>
        </w:rPr>
        <w:t>8</w:t>
      </w:r>
      <w:r w:rsidR="0010406F">
        <w:rPr>
          <w:rFonts w:ascii="Tahoma" w:hAnsi="Tahoma" w:cs="Tahoma"/>
          <w:b/>
          <w:bCs/>
          <w:color w:val="000000"/>
        </w:rPr>
        <w:t>.</w:t>
      </w:r>
      <w:r w:rsidR="00475BAE">
        <w:rPr>
          <w:rFonts w:ascii="Tahoma" w:hAnsi="Tahoma" w:cs="Tahoma"/>
          <w:b/>
          <w:bCs/>
          <w:color w:val="000000"/>
        </w:rPr>
        <w:t xml:space="preserve"> </w:t>
      </w:r>
      <w:r w:rsidR="0010406F">
        <w:rPr>
          <w:rFonts w:ascii="Tahoma" w:hAnsi="Tahoma" w:cs="Tahoma"/>
          <w:b/>
          <w:bCs/>
          <w:color w:val="000000"/>
        </w:rPr>
        <w:t>11.</w:t>
      </w:r>
      <w:r w:rsidR="006770C2">
        <w:rPr>
          <w:rFonts w:ascii="Tahoma" w:hAnsi="Tahoma" w:cs="Tahoma"/>
          <w:b/>
          <w:bCs/>
          <w:color w:val="000000"/>
        </w:rPr>
        <w:t xml:space="preserve"> </w:t>
      </w:r>
      <w:r w:rsidR="0010406F">
        <w:rPr>
          <w:rFonts w:ascii="Tahoma" w:hAnsi="Tahoma" w:cs="Tahoma"/>
          <w:b/>
          <w:bCs/>
          <w:color w:val="000000"/>
        </w:rPr>
        <w:t>2026</w:t>
      </w:r>
      <w:r w:rsidRPr="005C43E1">
        <w:rPr>
          <w:rFonts w:ascii="Tahoma" w:hAnsi="Tahoma" w:cs="Tahoma"/>
          <w:b/>
          <w:bCs/>
          <w:color w:val="000000"/>
        </w:rPr>
        <w:t xml:space="preserve"> za projekte, ki bodo sofinancirani v letu 202</w:t>
      </w:r>
      <w:r w:rsidR="0010406F">
        <w:rPr>
          <w:rFonts w:ascii="Tahoma" w:hAnsi="Tahoma" w:cs="Tahoma"/>
          <w:b/>
          <w:bCs/>
          <w:color w:val="000000"/>
        </w:rPr>
        <w:t>6</w:t>
      </w:r>
      <w:r w:rsidR="006770C2">
        <w:rPr>
          <w:rFonts w:ascii="Tahoma" w:hAnsi="Tahoma" w:cs="Tahoma"/>
          <w:b/>
          <w:bCs/>
          <w:color w:val="000000"/>
        </w:rPr>
        <w:t>,</w:t>
      </w:r>
      <w:r w:rsidRPr="005C43E1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oziroma </w:t>
      </w:r>
    </w:p>
    <w:p w14:paraId="721AA6D1" w14:textId="1BC5F3F5" w:rsidR="00E54188" w:rsidRPr="006B6EE6" w:rsidRDefault="00E54188" w:rsidP="00E54188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6B6EE6">
        <w:rPr>
          <w:rFonts w:ascii="Tahoma" w:hAnsi="Tahoma" w:cs="Tahoma"/>
          <w:b/>
          <w:bCs/>
          <w:color w:val="000000"/>
        </w:rPr>
        <w:t xml:space="preserve">do </w:t>
      </w:r>
      <w:r w:rsidR="00D0092C">
        <w:rPr>
          <w:rFonts w:ascii="Tahoma" w:hAnsi="Tahoma" w:cs="Tahoma"/>
          <w:b/>
          <w:bCs/>
          <w:color w:val="000000"/>
        </w:rPr>
        <w:t>8</w:t>
      </w:r>
      <w:r w:rsidR="0010406F">
        <w:rPr>
          <w:rFonts w:ascii="Tahoma" w:hAnsi="Tahoma" w:cs="Tahoma"/>
          <w:b/>
          <w:bCs/>
          <w:color w:val="000000"/>
        </w:rPr>
        <w:t>.</w:t>
      </w:r>
      <w:r w:rsidR="00475BAE">
        <w:rPr>
          <w:rFonts w:ascii="Tahoma" w:hAnsi="Tahoma" w:cs="Tahoma"/>
          <w:b/>
          <w:bCs/>
          <w:color w:val="000000"/>
        </w:rPr>
        <w:t xml:space="preserve"> </w:t>
      </w:r>
      <w:r w:rsidR="0010406F">
        <w:rPr>
          <w:rFonts w:ascii="Tahoma" w:hAnsi="Tahoma" w:cs="Tahoma"/>
          <w:b/>
          <w:bCs/>
          <w:color w:val="000000"/>
        </w:rPr>
        <w:t>10.</w:t>
      </w:r>
      <w:r w:rsidR="006770C2">
        <w:rPr>
          <w:rFonts w:ascii="Tahoma" w:hAnsi="Tahoma" w:cs="Tahoma"/>
          <w:b/>
          <w:bCs/>
          <w:color w:val="000000"/>
        </w:rPr>
        <w:t xml:space="preserve"> </w:t>
      </w:r>
      <w:r w:rsidR="0010406F">
        <w:rPr>
          <w:rFonts w:ascii="Tahoma" w:hAnsi="Tahoma" w:cs="Tahoma"/>
          <w:b/>
          <w:bCs/>
          <w:color w:val="000000"/>
        </w:rPr>
        <w:t xml:space="preserve">2027 </w:t>
      </w:r>
      <w:r w:rsidRPr="006B6EE6">
        <w:rPr>
          <w:rFonts w:ascii="Tahoma" w:hAnsi="Tahoma" w:cs="Tahoma"/>
          <w:b/>
          <w:bCs/>
          <w:color w:val="000000"/>
        </w:rPr>
        <w:t>za projekte, ki bodo sofinancirani v letu 202</w:t>
      </w:r>
      <w:r w:rsidR="0010406F">
        <w:rPr>
          <w:rFonts w:ascii="Tahoma" w:hAnsi="Tahoma" w:cs="Tahoma"/>
          <w:b/>
          <w:bCs/>
          <w:color w:val="000000"/>
        </w:rPr>
        <w:t>7</w:t>
      </w:r>
      <w:r w:rsidRPr="006B6EE6">
        <w:rPr>
          <w:rFonts w:ascii="Tahoma" w:hAnsi="Tahoma" w:cs="Tahoma"/>
          <w:color w:val="000000"/>
        </w:rPr>
        <w:t>.</w:t>
      </w:r>
    </w:p>
    <w:p w14:paraId="037E8D1A" w14:textId="77777777" w:rsidR="00E54188" w:rsidRDefault="00E54188" w:rsidP="00E54188">
      <w:pPr>
        <w:jc w:val="both"/>
        <w:rPr>
          <w:rFonts w:ascii="Tahoma" w:hAnsi="Tahoma" w:cs="Tahoma"/>
          <w:color w:val="000000"/>
        </w:rPr>
      </w:pPr>
    </w:p>
    <w:p w14:paraId="28F7C496" w14:textId="77777777" w:rsidR="00E54188" w:rsidRDefault="00E54188" w:rsidP="00E54188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Upravičeni strošek nastane, ko je storitev opravljena oziroma, ko je blago dobavljeno, skladno s predmetom in drugimi določili pogodbe in je podprt z ustrezno listino. </w:t>
      </w:r>
    </w:p>
    <w:p w14:paraId="443D736D" w14:textId="77777777" w:rsidR="00E54188" w:rsidRDefault="00E54188" w:rsidP="00E54188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</w:p>
    <w:p w14:paraId="0481FAA3" w14:textId="77777777" w:rsidR="00E54188" w:rsidRDefault="00E54188" w:rsidP="00E54188">
      <w:pPr>
        <w:jc w:val="both"/>
      </w:pPr>
      <w:r>
        <w:rPr>
          <w:rFonts w:ascii="Tahoma" w:hAnsi="Tahoma" w:cs="Tahoma"/>
        </w:rPr>
        <w:t>Upravičeni stroški upravičenca morajo biti plačani v celoti.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color w:val="000000"/>
        </w:rPr>
        <w:t>Upravičeni izdatek upravičenca nastane z dnem plačila upravičenega stroška in ko je podprt z listino, ki njegov nastanek ustrezno dokazuje.</w:t>
      </w:r>
    </w:p>
    <w:p w14:paraId="0978F11F" w14:textId="77777777" w:rsidR="00E54188" w:rsidRDefault="00E54188" w:rsidP="00E54188">
      <w:pPr>
        <w:jc w:val="both"/>
        <w:rPr>
          <w:rFonts w:ascii="Tahoma" w:hAnsi="Tahoma" w:cs="Tahoma"/>
          <w:color w:val="000000"/>
        </w:rPr>
      </w:pPr>
    </w:p>
    <w:p w14:paraId="70440E7D" w14:textId="77777777" w:rsidR="006770C2" w:rsidRPr="006770C2" w:rsidRDefault="006770C2" w:rsidP="006770C2">
      <w:pPr>
        <w:jc w:val="both"/>
        <w:rPr>
          <w:rFonts w:ascii="Tahoma" w:hAnsi="Tahoma" w:cs="Tahoma"/>
        </w:rPr>
      </w:pPr>
      <w:r w:rsidRPr="006770C2">
        <w:rPr>
          <w:rFonts w:ascii="Tahoma" w:hAnsi="Tahoma" w:cs="Tahoma"/>
        </w:rPr>
        <w:t>Upravičenec mora zahtevek za izplačilo predložiti:</w:t>
      </w:r>
    </w:p>
    <w:p w14:paraId="7DECC1F3" w14:textId="26A253A5" w:rsidR="006770C2" w:rsidRPr="006770C2" w:rsidRDefault="006770C2" w:rsidP="006770C2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6770C2">
        <w:rPr>
          <w:rFonts w:ascii="Tahoma" w:hAnsi="Tahoma" w:cs="Tahoma"/>
        </w:rPr>
        <w:t xml:space="preserve">najkasneje do </w:t>
      </w:r>
      <w:r w:rsidR="00D0092C">
        <w:rPr>
          <w:rFonts w:ascii="Tahoma" w:hAnsi="Tahoma" w:cs="Tahoma"/>
          <w:b/>
          <w:bCs/>
        </w:rPr>
        <w:t>10</w:t>
      </w:r>
      <w:r w:rsidRPr="006770C2">
        <w:rPr>
          <w:rFonts w:ascii="Tahoma" w:hAnsi="Tahoma" w:cs="Tahoma"/>
          <w:b/>
          <w:bCs/>
        </w:rPr>
        <w:t>. 11. 2026</w:t>
      </w:r>
      <w:r w:rsidRPr="006770C2">
        <w:rPr>
          <w:rFonts w:ascii="Tahoma" w:hAnsi="Tahoma" w:cs="Tahoma"/>
        </w:rPr>
        <w:t xml:space="preserve"> za projekte, sofinancirane v letu 2026, in</w:t>
      </w:r>
    </w:p>
    <w:p w14:paraId="7ED980E2" w14:textId="25603C33" w:rsidR="006770C2" w:rsidRPr="006770C2" w:rsidRDefault="006770C2" w:rsidP="006770C2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6770C2">
        <w:rPr>
          <w:rFonts w:ascii="Tahoma" w:hAnsi="Tahoma" w:cs="Tahoma"/>
        </w:rPr>
        <w:t xml:space="preserve">najkasneje do </w:t>
      </w:r>
      <w:r w:rsidRPr="006770C2">
        <w:rPr>
          <w:rFonts w:ascii="Tahoma" w:hAnsi="Tahoma" w:cs="Tahoma"/>
          <w:b/>
          <w:bCs/>
        </w:rPr>
        <w:t>1</w:t>
      </w:r>
      <w:r w:rsidR="00D0092C">
        <w:rPr>
          <w:rFonts w:ascii="Tahoma" w:hAnsi="Tahoma" w:cs="Tahoma"/>
          <w:b/>
          <w:bCs/>
        </w:rPr>
        <w:t>0</w:t>
      </w:r>
      <w:r w:rsidRPr="006770C2">
        <w:rPr>
          <w:rFonts w:ascii="Tahoma" w:hAnsi="Tahoma" w:cs="Tahoma"/>
          <w:b/>
          <w:bCs/>
        </w:rPr>
        <w:t>. 10. 2027</w:t>
      </w:r>
      <w:r w:rsidRPr="006770C2">
        <w:rPr>
          <w:rFonts w:ascii="Tahoma" w:hAnsi="Tahoma" w:cs="Tahoma"/>
        </w:rPr>
        <w:t xml:space="preserve"> za projekte, sofinancirane v letu 2027.</w:t>
      </w:r>
    </w:p>
    <w:p w14:paraId="4125FD74" w14:textId="77777777" w:rsidR="00E54188" w:rsidRDefault="00E54188" w:rsidP="00E54188">
      <w:pPr>
        <w:jc w:val="both"/>
        <w:rPr>
          <w:rFonts w:ascii="Tahoma" w:hAnsi="Tahoma" w:cs="Tahoma"/>
        </w:rPr>
      </w:pPr>
    </w:p>
    <w:p w14:paraId="697921D5" w14:textId="77777777" w:rsidR="00E54188" w:rsidRDefault="00E54188" w:rsidP="00E541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Sredstva za sofinanciranje bodo upravičencem nakazana na osnovi enkratnega izstavljenega zahtevka za izplačilo in sicer v enkratnem znesku po predložitvi in potrditvi zahtevka za izplačilo.</w:t>
      </w:r>
    </w:p>
    <w:p w14:paraId="6713C849" w14:textId="77777777" w:rsidR="00E54188" w:rsidRDefault="00E54188" w:rsidP="00E54188">
      <w:pPr>
        <w:jc w:val="both"/>
        <w:rPr>
          <w:rFonts w:ascii="Tahoma" w:hAnsi="Tahoma" w:cs="Tahoma"/>
        </w:rPr>
      </w:pPr>
    </w:p>
    <w:p w14:paraId="7CF78589" w14:textId="7A05F8FB" w:rsidR="00E54188" w:rsidRDefault="00E54188" w:rsidP="00E541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Upravičenec dokazuje upravičenost do izplačila v skladu z javnim razpisom oziroma  drugimi vsakokrat veljavnimi navodili Sklada, ki je izvedel javni razpis (priročniki, navodila za vlagatelje).</w:t>
      </w:r>
    </w:p>
    <w:p w14:paraId="3ECAE3FD" w14:textId="77777777" w:rsidR="00E54188" w:rsidRDefault="00E54188" w:rsidP="00E54188">
      <w:pPr>
        <w:jc w:val="both"/>
        <w:rPr>
          <w:rFonts w:ascii="Tahoma" w:hAnsi="Tahoma" w:cs="Tahoma"/>
        </w:rPr>
      </w:pPr>
    </w:p>
    <w:p w14:paraId="08992746" w14:textId="588B1AD0" w:rsidR="00E54188" w:rsidRDefault="00E54188" w:rsidP="00E541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Ob oddaji zahtevka za izplačilo mora upravičenec priložiti naslednje skenirane dokumente oziroma dokazila, s katerimi dokazuje doseg</w:t>
      </w:r>
      <w:r w:rsidR="006770C2">
        <w:rPr>
          <w:rFonts w:ascii="Tahoma" w:hAnsi="Tahoma" w:cs="Tahoma"/>
        </w:rPr>
        <w:t>anje</w:t>
      </w:r>
      <w:r>
        <w:rPr>
          <w:rFonts w:ascii="Tahoma" w:hAnsi="Tahoma" w:cs="Tahoma"/>
        </w:rPr>
        <w:t xml:space="preserve"> ciljev in upravičenost stroškov:</w:t>
      </w:r>
    </w:p>
    <w:p w14:paraId="76844B0B" w14:textId="77777777" w:rsidR="00E54188" w:rsidRDefault="00E54188" w:rsidP="00E54188">
      <w:pPr>
        <w:jc w:val="both"/>
        <w:rPr>
          <w:rFonts w:ascii="Tahoma" w:hAnsi="Tahoma" w:cs="Tahoma"/>
        </w:rPr>
      </w:pPr>
    </w:p>
    <w:p w14:paraId="539EC020" w14:textId="77777777" w:rsidR="00750896" w:rsidRDefault="00750896" w:rsidP="00750896">
      <w:pPr>
        <w:ind w:left="284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  <w:b/>
          <w:bCs/>
        </w:rPr>
        <w:t>1. Končno poročilo o izvedbi aktivnosti in doseganju zastavljenih ciljev</w:t>
      </w:r>
      <w:r w:rsidRPr="009C5B8F">
        <w:rPr>
          <w:rFonts w:ascii="Tahoma" w:eastAsia="Times New Roman" w:hAnsi="Tahoma" w:cs="Tahoma"/>
        </w:rPr>
        <w:t>, s poudarkom na ključnih področjih iz predstavitvenega načrta.</w:t>
      </w:r>
      <w:r>
        <w:rPr>
          <w:rFonts w:ascii="Tahoma" w:eastAsia="Times New Roman" w:hAnsi="Tahoma" w:cs="Tahoma"/>
        </w:rPr>
        <w:t xml:space="preserve"> </w:t>
      </w:r>
      <w:r w:rsidRPr="009C5B8F">
        <w:rPr>
          <w:rFonts w:ascii="Tahoma" w:eastAsia="Times New Roman" w:hAnsi="Tahoma" w:cs="Tahoma"/>
        </w:rPr>
        <w:t xml:space="preserve">Če aktivnosti niso bile zaključene skladno s predstavitvenim načrtom, je treba predstaviti tudi primerjavo dejanskega stanja v podjetju z načrtovanimi cilji ter pojasniti morebitna odstopanja (z vidika izvedbe, zaposlovanja, financ, poslovanja in </w:t>
      </w:r>
      <w:proofErr w:type="spellStart"/>
      <w:r w:rsidRPr="009C5B8F">
        <w:rPr>
          <w:rFonts w:ascii="Tahoma" w:eastAsia="Times New Roman" w:hAnsi="Tahoma" w:cs="Tahoma"/>
        </w:rPr>
        <w:t>časovnice</w:t>
      </w:r>
      <w:proofErr w:type="spellEnd"/>
      <w:r w:rsidRPr="009C5B8F">
        <w:rPr>
          <w:rFonts w:ascii="Tahoma" w:eastAsia="Times New Roman" w:hAnsi="Tahoma" w:cs="Tahoma"/>
        </w:rPr>
        <w:t>).</w:t>
      </w:r>
      <w:r>
        <w:rPr>
          <w:rFonts w:ascii="Tahoma" w:eastAsia="Times New Roman" w:hAnsi="Tahoma" w:cs="Tahoma"/>
        </w:rPr>
        <w:t xml:space="preserve"> </w:t>
      </w:r>
      <w:r w:rsidRPr="009C5B8F">
        <w:rPr>
          <w:rFonts w:ascii="Tahoma" w:eastAsia="Times New Roman" w:hAnsi="Tahoma" w:cs="Tahoma"/>
        </w:rPr>
        <w:t>Končno poročilo mora vsebovati najmanj</w:t>
      </w:r>
      <w:r>
        <w:rPr>
          <w:rFonts w:ascii="Tahoma" w:eastAsia="Times New Roman" w:hAnsi="Tahoma" w:cs="Tahoma"/>
        </w:rPr>
        <w:t xml:space="preserve">: </w:t>
      </w:r>
    </w:p>
    <w:p w14:paraId="0C3D80D1" w14:textId="77777777" w:rsidR="00750896" w:rsidRDefault="00750896" w:rsidP="00750896">
      <w:pPr>
        <w:ind w:left="851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a) kratek opis poslovanja podjetja;</w:t>
      </w:r>
      <w:r>
        <w:rPr>
          <w:rFonts w:ascii="Tahoma" w:eastAsia="Times New Roman" w:hAnsi="Tahoma" w:cs="Tahoma"/>
        </w:rPr>
        <w:t xml:space="preserve"> </w:t>
      </w:r>
    </w:p>
    <w:p w14:paraId="2E8388B3" w14:textId="77777777" w:rsidR="00750896" w:rsidRDefault="00750896" w:rsidP="00750896">
      <w:pPr>
        <w:ind w:left="851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b) izjavo o stanju projekta;</w:t>
      </w:r>
      <w:r>
        <w:rPr>
          <w:rFonts w:ascii="Tahoma" w:eastAsia="Times New Roman" w:hAnsi="Tahoma" w:cs="Tahoma"/>
        </w:rPr>
        <w:t xml:space="preserve"> </w:t>
      </w:r>
    </w:p>
    <w:p w14:paraId="07200C67" w14:textId="77777777" w:rsidR="00750896" w:rsidRDefault="00750896" w:rsidP="00750896">
      <w:pPr>
        <w:ind w:left="851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c) opis doseganja izvedbenih ciljev (konkreten opis izvedenih investicijskih aktivnosti);</w:t>
      </w:r>
    </w:p>
    <w:p w14:paraId="738888EE" w14:textId="77777777" w:rsidR="00750896" w:rsidRDefault="00750896" w:rsidP="00750896">
      <w:pPr>
        <w:ind w:left="851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d) primerjavo izvedenih aktivnosti z načrtovanimi;</w:t>
      </w:r>
    </w:p>
    <w:p w14:paraId="57FA1788" w14:textId="77777777" w:rsidR="00750896" w:rsidRDefault="00750896" w:rsidP="00750896">
      <w:pPr>
        <w:ind w:left="851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e) primerjavo s terminskim načrtom;</w:t>
      </w:r>
    </w:p>
    <w:p w14:paraId="3065AD06" w14:textId="77777777" w:rsidR="00750896" w:rsidRDefault="00750896" w:rsidP="00750896">
      <w:pPr>
        <w:ind w:left="851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lastRenderedPageBreak/>
        <w:t xml:space="preserve">f) 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>utemeljitev vseh odstopanj od izvedbenega, terminskega in finančnega načrta ali drugih odstopanj pri izvedbi projekta ter pojasnilo, kako bodo odstopanja odpravljena;</w:t>
      </w:r>
    </w:p>
    <w:p w14:paraId="47AB993E" w14:textId="77777777" w:rsidR="00750896" w:rsidRDefault="00750896" w:rsidP="00750896">
      <w:pPr>
        <w:ind w:left="851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g)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>lastno oceno doseženih učinkov in rezultatov projekta na poslovanje podjetja ter konkretne opise načrtovanih aktivnosti v prihodnjih dveh letih.</w:t>
      </w:r>
    </w:p>
    <w:p w14:paraId="1D22C61A" w14:textId="77777777" w:rsidR="00750896" w:rsidRPr="009C5B8F" w:rsidRDefault="00750896" w:rsidP="00750896">
      <w:pPr>
        <w:ind w:left="567" w:hanging="283"/>
        <w:jc w:val="both"/>
        <w:rPr>
          <w:rFonts w:ascii="Tahoma" w:eastAsia="Times New Roman" w:hAnsi="Tahoma" w:cs="Tahoma"/>
        </w:rPr>
      </w:pPr>
    </w:p>
    <w:p w14:paraId="5A16A078" w14:textId="77777777" w:rsidR="00750896" w:rsidRDefault="00750896" w:rsidP="00750896">
      <w:pPr>
        <w:ind w:left="284" w:hanging="284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  <w:b/>
          <w:bCs/>
        </w:rPr>
        <w:t>2. Izpis analitike razredov 0 in 4</w:t>
      </w:r>
      <w:r w:rsidRPr="009C5B8F">
        <w:rPr>
          <w:rFonts w:ascii="Tahoma" w:eastAsia="Times New Roman" w:hAnsi="Tahoma" w:cs="Tahoma"/>
        </w:rPr>
        <w:t xml:space="preserve"> za obdobje do oddaje zahtevka, pri čemer mora biti za potrebe projekta odprto posebno stroškovno mesto. Izpis mora biti potrjen s strani odgovorne osebe in osebe, odgovorne za sestavo izpisa (računovodje).</w:t>
      </w:r>
    </w:p>
    <w:p w14:paraId="3117114F" w14:textId="77777777" w:rsidR="00750896" w:rsidRPr="009C5B8F" w:rsidRDefault="00750896" w:rsidP="00750896">
      <w:pPr>
        <w:jc w:val="both"/>
        <w:rPr>
          <w:rFonts w:ascii="Tahoma" w:eastAsia="Times New Roman" w:hAnsi="Tahoma" w:cs="Tahoma"/>
        </w:rPr>
      </w:pPr>
    </w:p>
    <w:p w14:paraId="5CFFC4E3" w14:textId="77777777" w:rsidR="00750896" w:rsidRDefault="00750896" w:rsidP="00750896">
      <w:pPr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  <w:b/>
          <w:bCs/>
        </w:rPr>
        <w:t>3. Za stroške osnovnih sredstev in stroške storitev zunanjih izvajalcev:</w:t>
      </w:r>
    </w:p>
    <w:p w14:paraId="5B31135A" w14:textId="4B346A19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 xml:space="preserve">a) </w:t>
      </w:r>
      <w:r>
        <w:rPr>
          <w:rFonts w:ascii="Tahoma" w:eastAsia="Times New Roman" w:hAnsi="Tahoma" w:cs="Tahoma"/>
        </w:rPr>
        <w:tab/>
      </w:r>
      <w:proofErr w:type="spellStart"/>
      <w:r w:rsidRPr="009C5B8F">
        <w:rPr>
          <w:rFonts w:ascii="Tahoma" w:eastAsia="Times New Roman" w:hAnsi="Tahoma" w:cs="Tahoma"/>
        </w:rPr>
        <w:t>skene</w:t>
      </w:r>
      <w:proofErr w:type="spellEnd"/>
      <w:r w:rsidRPr="009C5B8F">
        <w:rPr>
          <w:rFonts w:ascii="Tahoma" w:eastAsia="Times New Roman" w:hAnsi="Tahoma" w:cs="Tahoma"/>
        </w:rPr>
        <w:t xml:space="preserve"> originalnih računov, izdanih na upravičenca;</w:t>
      </w:r>
    </w:p>
    <w:p w14:paraId="04C04A33" w14:textId="77777777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b)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>dokazilo o prevzemu strojev ali opreme (npr. dobavnica, tovorni list, EUL-obrazec) oziroma dokazilo (poročilo) o opravljeni storitvi;</w:t>
      </w:r>
    </w:p>
    <w:p w14:paraId="5FEB4C95" w14:textId="34D7281C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 xml:space="preserve">c) 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>potrdila oziroma dokazila o plačilu računov z razvidnim sklicem na račun, ponudbo, predračun ali pogodbo (če sklic na dokazilu o plačilu ni razviden, se priloži izjava dobavitelja o plačilu, iz katere je razvidno, po kateri listini je bilo plačilo izvedeno);</w:t>
      </w:r>
    </w:p>
    <w:p w14:paraId="60E5E9F6" w14:textId="77777777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 xml:space="preserve">d) 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>ponudbe, predračune ali pogodbe – v primeru, ko je bilo celotno ali delno plačilo izvedeno na podlagi teh listin; predloži se tista listina, ki je bila podlaga za plačilo in katere številka je razvidna v sklicu na potrdilu o plačilu ali iz izjave dobavitelja;</w:t>
      </w:r>
    </w:p>
    <w:p w14:paraId="6F4D698A" w14:textId="77777777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e)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>v primeru kompenzacij: račun; medsebojni sporazum o pobotu s potrditvijo vseh udeleženih, ki mora vsebovati najmanj številke računov, ki se zapirajo, zneske zaprtja posameznih računov ter datum izdaje in zapadlosti računov; izpis iz TRR, iz katerega je razvidno plačilo s kompenzacijo; dokazilo o verodostojnosti terjatev upravičenca;</w:t>
      </w:r>
    </w:p>
    <w:p w14:paraId="07D6D7E9" w14:textId="77777777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f)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 xml:space="preserve">ponudbo, na podlagi katere je bilo izvedeno naročilo opreme oziroma storitve, ter </w:t>
      </w:r>
      <w:r w:rsidRPr="009C5B8F">
        <w:rPr>
          <w:rFonts w:ascii="Tahoma" w:eastAsia="Times New Roman" w:hAnsi="Tahoma" w:cs="Tahoma"/>
          <w:b/>
          <w:bCs/>
        </w:rPr>
        <w:t>še dve konkurenčni ponudbi oziroma predračuna</w:t>
      </w:r>
      <w:r w:rsidRPr="009C5B8F">
        <w:rPr>
          <w:rFonts w:ascii="Tahoma" w:eastAsia="Times New Roman" w:hAnsi="Tahoma" w:cs="Tahoma"/>
        </w:rPr>
        <w:t>, s katerimi upravičenec dokazuje upoštevanje načela gospodarnosti pri izbiri, oziroma dokumentacijo o izboru zunanjega izvajalca, ki dokazuje gospodarno ravnanje in tržno ceno, skladno s točko 10 javnega razpisa; če upravičenec že sodeluje z izvajalcem pri zagotavljanju programske opreme in bi bil izbor drugega izvajalca neekonomičen, lahko predloži utemeljeno obrazložitev, ki dokazuje gospodarno ravnanje;</w:t>
      </w:r>
    </w:p>
    <w:p w14:paraId="5825B406" w14:textId="77777777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9C5B8F">
        <w:rPr>
          <w:rFonts w:ascii="Tahoma" w:eastAsia="Times New Roman" w:hAnsi="Tahoma" w:cs="Tahoma"/>
        </w:rPr>
        <w:t>g)</w:t>
      </w:r>
      <w:r>
        <w:rPr>
          <w:rFonts w:ascii="Tahoma" w:eastAsia="Times New Roman" w:hAnsi="Tahoma" w:cs="Tahoma"/>
        </w:rPr>
        <w:tab/>
      </w:r>
      <w:r w:rsidRPr="009C5B8F">
        <w:rPr>
          <w:rFonts w:ascii="Tahoma" w:eastAsia="Times New Roman" w:hAnsi="Tahoma" w:cs="Tahoma"/>
        </w:rPr>
        <w:t>dokazilo, da je kupljena oprema nova (razvidno leto izdelave 2025 ali 2026 za sofinanciranje v letu 2026 oziroma leto izdelave 2026 ali 2027 za sofinanciranje v letu 2027), npr. garancije, certifikati, tehnične specifikacije ali potrdila proizvajalcev – velja za opredmetena osnovna sredstva;</w:t>
      </w:r>
    </w:p>
    <w:p w14:paraId="397834BA" w14:textId="77777777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637855">
        <w:rPr>
          <w:rFonts w:ascii="Tahoma" w:eastAsia="Times New Roman" w:hAnsi="Tahoma" w:cs="Tahoma"/>
        </w:rPr>
        <w:t>h)</w:t>
      </w:r>
      <w:r>
        <w:rPr>
          <w:rFonts w:ascii="Tahoma" w:eastAsia="Times New Roman" w:hAnsi="Tahoma" w:cs="Tahoma"/>
        </w:rPr>
        <w:tab/>
      </w:r>
      <w:r w:rsidRPr="00637855">
        <w:rPr>
          <w:rFonts w:ascii="Tahoma" w:eastAsia="Times New Roman" w:hAnsi="Tahoma" w:cs="Tahoma"/>
          <w:b/>
          <w:bCs/>
        </w:rPr>
        <w:t>fotografije opreme</w:t>
      </w:r>
      <w:r w:rsidRPr="00637855">
        <w:rPr>
          <w:rFonts w:ascii="Tahoma" w:eastAsia="Times New Roman" w:hAnsi="Tahoma" w:cs="Tahoma"/>
        </w:rPr>
        <w:t xml:space="preserve"> – velja za opredmetena osnovna sredstva;</w:t>
      </w:r>
    </w:p>
    <w:p w14:paraId="538BA8A6" w14:textId="77777777" w:rsidR="00750896" w:rsidRDefault="00750896" w:rsidP="00750896">
      <w:pPr>
        <w:ind w:left="709" w:hanging="283"/>
        <w:jc w:val="both"/>
        <w:rPr>
          <w:rFonts w:ascii="Tahoma" w:eastAsia="Times New Roman" w:hAnsi="Tahoma" w:cs="Tahoma"/>
        </w:rPr>
      </w:pPr>
      <w:r w:rsidRPr="00637855">
        <w:rPr>
          <w:rFonts w:ascii="Tahoma" w:eastAsia="Times New Roman" w:hAnsi="Tahoma" w:cs="Tahoma"/>
        </w:rPr>
        <w:t>i)</w:t>
      </w:r>
      <w:r>
        <w:rPr>
          <w:rFonts w:ascii="Tahoma" w:eastAsia="Times New Roman" w:hAnsi="Tahoma" w:cs="Tahoma"/>
        </w:rPr>
        <w:tab/>
      </w:r>
      <w:r w:rsidRPr="00637855">
        <w:rPr>
          <w:rFonts w:ascii="Tahoma" w:eastAsia="Times New Roman" w:hAnsi="Tahoma" w:cs="Tahoma"/>
          <w:b/>
          <w:bCs/>
        </w:rPr>
        <w:t>izjava s podpisom in žigom odgovorne osebe upravičenca o namenskosti opreme</w:t>
      </w:r>
      <w:r w:rsidRPr="00637855">
        <w:rPr>
          <w:rFonts w:ascii="Tahoma" w:eastAsia="Times New Roman" w:hAnsi="Tahoma" w:cs="Tahoma"/>
        </w:rPr>
        <w:t xml:space="preserve"> (za kaj se bo uporabljala, kje se bo nahajala in kdo bo njen lastnik po zaključku projekta) – velja za opredmetena in neopredmetena</w:t>
      </w:r>
      <w:r>
        <w:rPr>
          <w:rFonts w:ascii="Tahoma" w:eastAsia="Times New Roman" w:hAnsi="Tahoma" w:cs="Tahoma"/>
        </w:rPr>
        <w:t xml:space="preserve"> </w:t>
      </w:r>
      <w:r w:rsidRPr="00637855">
        <w:rPr>
          <w:rFonts w:ascii="Tahoma" w:eastAsia="Times New Roman" w:hAnsi="Tahoma" w:cs="Tahoma"/>
        </w:rPr>
        <w:t>sredstva.</w:t>
      </w:r>
    </w:p>
    <w:p w14:paraId="2FD1C36B" w14:textId="77777777" w:rsidR="00750896" w:rsidRPr="00DC66E0" w:rsidRDefault="00750896" w:rsidP="00750896">
      <w:pPr>
        <w:ind w:left="709" w:hanging="283"/>
        <w:jc w:val="both"/>
        <w:rPr>
          <w:rFonts w:ascii="Tahoma" w:hAnsi="Tahoma" w:cs="Tahoma"/>
          <w:b/>
        </w:rPr>
      </w:pPr>
    </w:p>
    <w:p w14:paraId="6FD138BF" w14:textId="77777777" w:rsidR="00E54188" w:rsidRDefault="00E54188" w:rsidP="00E54188">
      <w:pPr>
        <w:suppressAutoHyphens w:val="0"/>
        <w:ind w:left="360"/>
        <w:jc w:val="both"/>
      </w:pPr>
    </w:p>
    <w:p w14:paraId="77808391" w14:textId="77777777" w:rsidR="00E54188" w:rsidRDefault="00E54188"/>
    <w:sectPr w:rsidR="00E5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3AF"/>
    <w:multiLevelType w:val="hybridMultilevel"/>
    <w:tmpl w:val="1E7E439A"/>
    <w:lvl w:ilvl="0" w:tplc="04240019">
      <w:start w:val="1"/>
      <w:numFmt w:val="lowerLetter"/>
      <w:lvlText w:val="%1."/>
      <w:lvlJc w:val="left"/>
      <w:pPr>
        <w:ind w:left="717" w:hanging="360"/>
      </w:p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684777B"/>
    <w:multiLevelType w:val="hybridMultilevel"/>
    <w:tmpl w:val="EA4636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60FA2"/>
    <w:multiLevelType w:val="hybridMultilevel"/>
    <w:tmpl w:val="FE4EA5D0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3753CEF"/>
    <w:multiLevelType w:val="hybridMultilevel"/>
    <w:tmpl w:val="B8C023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47CB"/>
    <w:multiLevelType w:val="hybridMultilevel"/>
    <w:tmpl w:val="C5C83666"/>
    <w:lvl w:ilvl="0" w:tplc="529220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665A1B46">
      <w:start w:val="16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4728B"/>
    <w:multiLevelType w:val="hybridMultilevel"/>
    <w:tmpl w:val="CAE42FA8"/>
    <w:lvl w:ilvl="0" w:tplc="0424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FF70D9B"/>
    <w:multiLevelType w:val="hybridMultilevel"/>
    <w:tmpl w:val="25C09662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F4C1F12"/>
    <w:multiLevelType w:val="hybridMultilevel"/>
    <w:tmpl w:val="55040AE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65A1B46">
      <w:start w:val="1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516DB"/>
    <w:multiLevelType w:val="multilevel"/>
    <w:tmpl w:val="EDFC8A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E574637"/>
    <w:multiLevelType w:val="hybridMultilevel"/>
    <w:tmpl w:val="80DAD328"/>
    <w:lvl w:ilvl="0" w:tplc="042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F72BE8"/>
    <w:multiLevelType w:val="multilevel"/>
    <w:tmpl w:val="528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701852">
    <w:abstractNumId w:val="8"/>
  </w:num>
  <w:num w:numId="2" w16cid:durableId="137915863">
    <w:abstractNumId w:val="0"/>
  </w:num>
  <w:num w:numId="3" w16cid:durableId="1944650723">
    <w:abstractNumId w:val="7"/>
  </w:num>
  <w:num w:numId="4" w16cid:durableId="1004554516">
    <w:abstractNumId w:val="4"/>
  </w:num>
  <w:num w:numId="5" w16cid:durableId="971204562">
    <w:abstractNumId w:val="3"/>
  </w:num>
  <w:num w:numId="6" w16cid:durableId="2043893295">
    <w:abstractNumId w:val="1"/>
  </w:num>
  <w:num w:numId="7" w16cid:durableId="1513177995">
    <w:abstractNumId w:val="10"/>
  </w:num>
  <w:num w:numId="8" w16cid:durableId="1701977281">
    <w:abstractNumId w:val="9"/>
  </w:num>
  <w:num w:numId="9" w16cid:durableId="305398273">
    <w:abstractNumId w:val="2"/>
  </w:num>
  <w:num w:numId="10" w16cid:durableId="188379262">
    <w:abstractNumId w:val="6"/>
  </w:num>
  <w:num w:numId="11" w16cid:durableId="2132938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88"/>
    <w:rsid w:val="000331E5"/>
    <w:rsid w:val="0010406F"/>
    <w:rsid w:val="001255AF"/>
    <w:rsid w:val="0023328C"/>
    <w:rsid w:val="00315A6B"/>
    <w:rsid w:val="003802B2"/>
    <w:rsid w:val="00475BAE"/>
    <w:rsid w:val="0058337B"/>
    <w:rsid w:val="00636FA4"/>
    <w:rsid w:val="006770C2"/>
    <w:rsid w:val="00750896"/>
    <w:rsid w:val="00806661"/>
    <w:rsid w:val="008B66DB"/>
    <w:rsid w:val="00C60FCC"/>
    <w:rsid w:val="00CB266E"/>
    <w:rsid w:val="00D0092C"/>
    <w:rsid w:val="00D04250"/>
    <w:rsid w:val="00D87BB2"/>
    <w:rsid w:val="00DC3231"/>
    <w:rsid w:val="00E54188"/>
    <w:rsid w:val="00F2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0E63"/>
  <w15:chartTrackingRefBased/>
  <w15:docId w15:val="{E53C5617-F466-4E75-994F-81516A6E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188"/>
    <w:pPr>
      <w:suppressAutoHyphens/>
      <w:autoSpaceDN w:val="0"/>
      <w:spacing w:after="0" w:line="240" w:lineRule="auto"/>
    </w:pPr>
    <w:rPr>
      <w:rFonts w:ascii="Calibri" w:eastAsia="Calibri" w:hAnsi="Calibri" w:cs="Calibri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4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4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4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4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4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4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4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41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4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41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4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4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4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5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54188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E541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541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41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4188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6770C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Hojski Ilijevec</dc:creator>
  <cp:keywords/>
  <dc:description/>
  <cp:lastModifiedBy>Jasna Kepnik</cp:lastModifiedBy>
  <cp:revision>10</cp:revision>
  <dcterms:created xsi:type="dcterms:W3CDTF">2025-07-11T12:10:00Z</dcterms:created>
  <dcterms:modified xsi:type="dcterms:W3CDTF">2026-04-15T09:28:00Z</dcterms:modified>
</cp:coreProperties>
</file>